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B64E" w14:textId="581F94C9" w:rsidR="001B6D1A" w:rsidRDefault="001B6D1A" w:rsidP="008B0DAF">
      <w:pPr>
        <w:spacing w:before="100" w:beforeAutospacing="1" w:after="120"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9"/>
        <w:gridCol w:w="4643"/>
      </w:tblGrid>
      <w:tr w:rsidR="00A46045" w:rsidRPr="00AD3D25" w14:paraId="05ECE057" w14:textId="77777777" w:rsidTr="001B6D1A">
        <w:tc>
          <w:tcPr>
            <w:tcW w:w="4429" w:type="dxa"/>
          </w:tcPr>
          <w:p w14:paraId="443FF18B" w14:textId="037AF87E"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  <w:r w:rsidRPr="00081F39">
              <w:rPr>
                <w:rFonts w:cstheme="minorHAnsi"/>
                <w:bCs/>
              </w:rPr>
              <w:t xml:space="preserve">Numer </w:t>
            </w:r>
            <w:proofErr w:type="gramStart"/>
            <w:r w:rsidRPr="00081F39">
              <w:rPr>
                <w:rFonts w:cstheme="minorHAnsi"/>
                <w:bCs/>
              </w:rPr>
              <w:t xml:space="preserve">sprawy:  </w:t>
            </w:r>
            <w:r w:rsidR="009C5DB3" w:rsidRPr="00D17D98">
              <w:rPr>
                <w:rFonts w:ascii="Times New Roman" w:eastAsia="Calibri" w:hAnsi="Times New Roman" w:cs="Times New Roman"/>
                <w:sz w:val="24"/>
                <w:szCs w:val="24"/>
              </w:rPr>
              <w:t>Or</w:t>
            </w:r>
            <w:proofErr w:type="gramEnd"/>
            <w:r w:rsidR="009C5DB3" w:rsidRPr="00D17D98">
              <w:rPr>
                <w:rFonts w:ascii="Times New Roman" w:eastAsia="Calibri" w:hAnsi="Times New Roman" w:cs="Times New Roman"/>
                <w:sz w:val="24"/>
                <w:szCs w:val="24"/>
              </w:rPr>
              <w:t>.271.</w:t>
            </w:r>
            <w:r w:rsidR="009C5DB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C5DB3" w:rsidRPr="00D17D98">
              <w:rPr>
                <w:rFonts w:ascii="Times New Roman" w:eastAsia="Calibri" w:hAnsi="Times New Roman" w:cs="Times New Roman"/>
                <w:sz w:val="24"/>
                <w:szCs w:val="24"/>
              </w:rPr>
              <w:t>.2025</w:t>
            </w:r>
          </w:p>
          <w:p w14:paraId="642231F8" w14:textId="77777777"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0EE3D415" w14:textId="77777777"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554BED10" w14:textId="5CF551D5" w:rsidR="00A46045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2DE84F86" w14:textId="77777777"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  <w:p w14:paraId="5CD26AEF" w14:textId="77777777" w:rsidR="00A46045" w:rsidRPr="00081F39" w:rsidRDefault="00A46045" w:rsidP="008B0DAF">
            <w:pPr>
              <w:spacing w:before="100" w:beforeAutospacing="1" w:after="120" w:line="276" w:lineRule="auto"/>
              <w:rPr>
                <w:rFonts w:cstheme="minorHAnsi"/>
                <w:bCs/>
              </w:rPr>
            </w:pPr>
          </w:p>
        </w:tc>
        <w:tc>
          <w:tcPr>
            <w:tcW w:w="4643" w:type="dxa"/>
          </w:tcPr>
          <w:p w14:paraId="0F5D30CA" w14:textId="6CB55BF7" w:rsidR="00A46045" w:rsidRPr="00081F39" w:rsidRDefault="009C5DB3" w:rsidP="008B0DAF">
            <w:pPr>
              <w:spacing w:before="100" w:beforeAutospacing="1" w:after="120" w:line="276" w:lineRule="auto"/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Działoszyce</w:t>
            </w:r>
            <w:r w:rsidR="00A46045" w:rsidRPr="00081F39">
              <w:rPr>
                <w:rFonts w:cstheme="minorHAnsi"/>
                <w:bCs/>
              </w:rPr>
              <w:t xml:space="preserve">, dnia </w:t>
            </w:r>
            <w:r w:rsidR="005C00C4">
              <w:rPr>
                <w:rFonts w:cstheme="minorHAnsi"/>
                <w:bCs/>
              </w:rPr>
              <w:t>04.12.2025 r.</w:t>
            </w:r>
          </w:p>
          <w:p w14:paraId="05256052" w14:textId="77777777" w:rsidR="00A46045" w:rsidRPr="00081F39" w:rsidRDefault="00A46045" w:rsidP="008B0DAF">
            <w:pPr>
              <w:tabs>
                <w:tab w:val="left" w:pos="1068"/>
              </w:tabs>
              <w:spacing w:before="100" w:beforeAutospacing="1" w:after="120" w:line="276" w:lineRule="auto"/>
              <w:rPr>
                <w:rFonts w:cstheme="minorHAnsi"/>
              </w:rPr>
            </w:pPr>
          </w:p>
        </w:tc>
      </w:tr>
      <w:tr w:rsidR="00A46045" w:rsidRPr="00AD3D25" w14:paraId="7E038D28" w14:textId="77777777" w:rsidTr="001B6D1A">
        <w:tc>
          <w:tcPr>
            <w:tcW w:w="9072" w:type="dxa"/>
            <w:gridSpan w:val="2"/>
            <w:vAlign w:val="center"/>
          </w:tcPr>
          <w:p w14:paraId="435717E9" w14:textId="307B9F5E" w:rsidR="00A46045" w:rsidRPr="000F1009" w:rsidRDefault="00A46045" w:rsidP="008B0DAF">
            <w:pPr>
              <w:spacing w:before="100" w:beforeAutospacing="1" w:after="120" w:line="276" w:lineRule="auto"/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A46045">
              <w:rPr>
                <w:sz w:val="44"/>
                <w:szCs w:val="44"/>
              </w:rPr>
              <w:t>Szczegółowy Opis Przedmiotu Zamówienia</w:t>
            </w:r>
            <w:r w:rsidR="009F060A">
              <w:rPr>
                <w:sz w:val="44"/>
                <w:szCs w:val="44"/>
              </w:rPr>
              <w:t xml:space="preserve"> </w:t>
            </w:r>
          </w:p>
          <w:p w14:paraId="11C56661" w14:textId="77777777" w:rsidR="00A46045" w:rsidRDefault="00A46045" w:rsidP="008B0DAF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</w:p>
          <w:p w14:paraId="7F3D1118" w14:textId="384441E4" w:rsidR="00A46045" w:rsidRPr="00A46045" w:rsidRDefault="0047175C" w:rsidP="008B0DAF">
            <w:pPr>
              <w:spacing w:before="100" w:beforeAutospacing="1" w:after="120" w:line="276" w:lineRule="auto"/>
              <w:jc w:val="center"/>
              <w:rPr>
                <w:sz w:val="28"/>
                <w:szCs w:val="28"/>
              </w:rPr>
            </w:pPr>
            <w:r w:rsidRPr="0047175C">
              <w:rPr>
                <w:sz w:val="28"/>
                <w:szCs w:val="28"/>
              </w:rPr>
              <w:t>Dostawa agregatu prądotwórczego oraz centralnego zasilacza UPS dla Urzędu Miasta i Gminy Działoszyce</w:t>
            </w:r>
            <w:bookmarkStart w:id="0" w:name="_Hlk96781142"/>
          </w:p>
          <w:bookmarkEnd w:id="0"/>
          <w:p w14:paraId="16EF8665" w14:textId="77777777" w:rsidR="00A46045" w:rsidRPr="00AD3D25" w:rsidRDefault="00A46045" w:rsidP="008B0DAF">
            <w:pPr>
              <w:spacing w:before="100" w:beforeAutospacing="1" w:after="12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534A86D" w14:textId="63E36697" w:rsidR="00A46045" w:rsidRDefault="00A46045" w:rsidP="008B0DAF">
      <w:pPr>
        <w:spacing w:before="100" w:beforeAutospacing="1" w:after="120" w:line="276" w:lineRule="auto"/>
        <w:jc w:val="right"/>
      </w:pPr>
    </w:p>
    <w:p w14:paraId="25E3A9F7" w14:textId="77777777" w:rsidR="00A46045" w:rsidRDefault="00A46045" w:rsidP="008B0DAF">
      <w:pPr>
        <w:spacing w:before="100" w:beforeAutospacing="1" w:after="120" w:line="276" w:lineRule="auto"/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28950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1A9F7E" w14:textId="6A56CEA5" w:rsidR="00EF3894" w:rsidRDefault="00EF3894" w:rsidP="008B0DAF">
          <w:pPr>
            <w:pStyle w:val="Nagwekspisutreci"/>
            <w:spacing w:before="100" w:beforeAutospacing="1" w:after="120" w:line="276" w:lineRule="auto"/>
          </w:pPr>
          <w:r>
            <w:t>Spis treści</w:t>
          </w:r>
        </w:p>
        <w:p w14:paraId="79816C05" w14:textId="391E9819" w:rsidR="001970C0" w:rsidRDefault="00EF3894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5481026" w:history="1">
            <w:r w:rsidR="001970C0" w:rsidRPr="006756D5">
              <w:rPr>
                <w:rStyle w:val="Hipercze"/>
                <w:noProof/>
              </w:rPr>
              <w:t>1.</w:t>
            </w:r>
            <w:r w:rsidR="001970C0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970C0" w:rsidRPr="006756D5">
              <w:rPr>
                <w:rStyle w:val="Hipercze"/>
                <w:noProof/>
              </w:rPr>
              <w:t>Zestawienie ilościowe.</w:t>
            </w:r>
            <w:r w:rsidR="001970C0">
              <w:rPr>
                <w:noProof/>
                <w:webHidden/>
              </w:rPr>
              <w:tab/>
            </w:r>
            <w:r w:rsidR="001970C0">
              <w:rPr>
                <w:noProof/>
                <w:webHidden/>
              </w:rPr>
              <w:fldChar w:fldCharType="begin"/>
            </w:r>
            <w:r w:rsidR="001970C0">
              <w:rPr>
                <w:noProof/>
                <w:webHidden/>
              </w:rPr>
              <w:instrText xml:space="preserve"> PAGEREF _Toc215481026 \h </w:instrText>
            </w:r>
            <w:r w:rsidR="001970C0">
              <w:rPr>
                <w:noProof/>
                <w:webHidden/>
              </w:rPr>
            </w:r>
            <w:r w:rsidR="001970C0">
              <w:rPr>
                <w:noProof/>
                <w:webHidden/>
              </w:rPr>
              <w:fldChar w:fldCharType="separate"/>
            </w:r>
            <w:r w:rsidR="001970C0">
              <w:rPr>
                <w:noProof/>
                <w:webHidden/>
              </w:rPr>
              <w:t>3</w:t>
            </w:r>
            <w:r w:rsidR="001970C0">
              <w:rPr>
                <w:noProof/>
                <w:webHidden/>
              </w:rPr>
              <w:fldChar w:fldCharType="end"/>
            </w:r>
          </w:hyperlink>
        </w:p>
        <w:p w14:paraId="7519F4F9" w14:textId="3EC8369D" w:rsidR="001970C0" w:rsidRDefault="001970C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481027" w:history="1">
            <w:r w:rsidRPr="006756D5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756D5">
              <w:rPr>
                <w:rStyle w:val="Hipercze"/>
                <w:noProof/>
              </w:rPr>
              <w:t>Zasada równoważności rozwiązań i neutralności technologicznej.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_Toc215481027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7E9B7" w14:textId="40E3FDFF" w:rsidR="001970C0" w:rsidRDefault="001970C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481028" w:history="1">
            <w:r w:rsidRPr="006756D5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756D5">
              <w:rPr>
                <w:rStyle w:val="Hipercze"/>
                <w:noProof/>
              </w:rPr>
              <w:t>Wymagania ogólne.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_Toc215481028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E1C07" w14:textId="1B157521" w:rsidR="001970C0" w:rsidRDefault="001970C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481029" w:history="1">
            <w:r w:rsidRPr="006756D5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756D5">
              <w:rPr>
                <w:rStyle w:val="Hipercze"/>
                <w:noProof/>
              </w:rPr>
              <w:t>Opis przedmiotu zamówienia dla części nr 1.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_Toc215481029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5E67A" w14:textId="78251388" w:rsidR="001970C0" w:rsidRDefault="001970C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5481030" w:history="1">
            <w:r w:rsidRPr="006756D5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6756D5">
              <w:rPr>
                <w:rStyle w:val="Hipercze"/>
                <w:noProof/>
              </w:rPr>
              <w:t>Opis przedmiotu zamówienia dla części nr 2.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_Toc215481030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65691C" w14:textId="2C97970F" w:rsidR="00EF3894" w:rsidRDefault="00EF3894" w:rsidP="008B0DAF">
          <w:pPr>
            <w:pStyle w:val="Spistreci1"/>
            <w:tabs>
              <w:tab w:val="left" w:pos="720"/>
            </w:tabs>
            <w:spacing w:before="100" w:beforeAutospacing="1" w:after="120" w:line="276" w:lineRule="auto"/>
          </w:pPr>
          <w:r>
            <w:rPr>
              <w:b/>
              <w:bCs/>
            </w:rPr>
            <w:fldChar w:fldCharType="end"/>
          </w:r>
        </w:p>
      </w:sdtContent>
    </w:sdt>
    <w:p w14:paraId="796E12B1" w14:textId="09ADB18F" w:rsidR="00EF3894" w:rsidRDefault="00EF3894" w:rsidP="008B0DAF">
      <w:pPr>
        <w:spacing w:before="100" w:beforeAutospacing="1" w:after="120" w:line="276" w:lineRule="auto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14:paraId="67816582" w14:textId="765F7882" w:rsidR="00A46045" w:rsidRDefault="00A922E9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1" w:name="_Toc215481026"/>
      <w:r>
        <w:lastRenderedPageBreak/>
        <w:t>Zestawienie ilościowe.</w:t>
      </w:r>
      <w:bookmarkEnd w:id="1"/>
    </w:p>
    <w:p w14:paraId="042A39D9" w14:textId="77777777" w:rsidR="0047175C" w:rsidRDefault="0047175C" w:rsidP="0047175C">
      <w:pPr>
        <w:spacing w:line="240" w:lineRule="auto"/>
        <w:jc w:val="both"/>
      </w:pPr>
    </w:p>
    <w:p w14:paraId="7D1F2C00" w14:textId="686BA1C7" w:rsidR="0047175C" w:rsidRPr="009E22BD" w:rsidRDefault="0047175C" w:rsidP="0047175C">
      <w:pPr>
        <w:spacing w:line="240" w:lineRule="auto"/>
        <w:jc w:val="both"/>
      </w:pPr>
      <w:r w:rsidRPr="009E22BD">
        <w:t xml:space="preserve">Część nr 1 – Dostawa </w:t>
      </w:r>
      <w:r>
        <w:t>agregatu prądotwórczego.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6304"/>
        <w:gridCol w:w="2263"/>
      </w:tblGrid>
      <w:tr w:rsidR="0056145F" w14:paraId="5045F041" w14:textId="77777777" w:rsidTr="00B00BEE">
        <w:trPr>
          <w:trHeight w:val="504"/>
        </w:trPr>
        <w:tc>
          <w:tcPr>
            <w:tcW w:w="495" w:type="dxa"/>
            <w:shd w:val="clear" w:color="auto" w:fill="D9D9D9" w:themeFill="background1" w:themeFillShade="D9"/>
            <w:vAlign w:val="center"/>
          </w:tcPr>
          <w:p w14:paraId="7A1CA1A5" w14:textId="77777777"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Lp.</w:t>
            </w:r>
          </w:p>
        </w:tc>
        <w:tc>
          <w:tcPr>
            <w:tcW w:w="6304" w:type="dxa"/>
            <w:shd w:val="clear" w:color="auto" w:fill="D9D9D9" w:themeFill="background1" w:themeFillShade="D9"/>
            <w:vAlign w:val="center"/>
          </w:tcPr>
          <w:p w14:paraId="37722503" w14:textId="77777777"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Nazwa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3102B77C" w14:textId="77777777" w:rsidR="0056145F" w:rsidRDefault="0056145F" w:rsidP="008B0DAF">
            <w:pPr>
              <w:spacing w:before="100" w:beforeAutospacing="1" w:after="120" w:line="276" w:lineRule="auto"/>
              <w:jc w:val="center"/>
            </w:pPr>
            <w:r>
              <w:t>Ilość</w:t>
            </w:r>
          </w:p>
        </w:tc>
      </w:tr>
      <w:tr w:rsidR="0056145F" w14:paraId="73CA1862" w14:textId="77777777" w:rsidTr="00B00BEE">
        <w:tc>
          <w:tcPr>
            <w:tcW w:w="495" w:type="dxa"/>
          </w:tcPr>
          <w:p w14:paraId="261ED025" w14:textId="77777777" w:rsidR="0056145F" w:rsidRDefault="0056145F" w:rsidP="008B0DAF">
            <w:pPr>
              <w:spacing w:before="100" w:beforeAutospacing="1" w:after="120" w:line="276" w:lineRule="auto"/>
            </w:pPr>
            <w:r>
              <w:t>1.</w:t>
            </w:r>
          </w:p>
        </w:tc>
        <w:tc>
          <w:tcPr>
            <w:tcW w:w="6304" w:type="dxa"/>
          </w:tcPr>
          <w:p w14:paraId="0723EFD1" w14:textId="098495B3" w:rsidR="0056145F" w:rsidRDefault="0047175C" w:rsidP="008B0DAF">
            <w:pPr>
              <w:spacing w:before="100" w:beforeAutospacing="1" w:after="120" w:line="276" w:lineRule="auto"/>
            </w:pPr>
            <w:r w:rsidRPr="0047175C">
              <w:t>Zakup agregatu prądotwórczego</w:t>
            </w:r>
          </w:p>
        </w:tc>
        <w:tc>
          <w:tcPr>
            <w:tcW w:w="2263" w:type="dxa"/>
            <w:vAlign w:val="center"/>
          </w:tcPr>
          <w:p w14:paraId="08B3C646" w14:textId="3DF29802" w:rsidR="0056145F" w:rsidRDefault="00687E26" w:rsidP="008B0DAF">
            <w:pPr>
              <w:spacing w:before="100" w:beforeAutospacing="1" w:after="120" w:line="276" w:lineRule="auto"/>
              <w:jc w:val="center"/>
            </w:pPr>
            <w:r>
              <w:t>1</w:t>
            </w:r>
            <w:r w:rsidR="00672328">
              <w:t xml:space="preserve"> szt.</w:t>
            </w:r>
          </w:p>
        </w:tc>
      </w:tr>
    </w:tbl>
    <w:p w14:paraId="69D57934" w14:textId="77777777" w:rsidR="0047175C" w:rsidRPr="009E22BD" w:rsidRDefault="0047175C" w:rsidP="0047175C">
      <w:pPr>
        <w:spacing w:before="100" w:beforeAutospacing="1" w:after="120" w:line="276" w:lineRule="auto"/>
        <w:jc w:val="both"/>
      </w:pPr>
      <w:r w:rsidRPr="009E22BD">
        <w:t xml:space="preserve">Część nr 2 – </w:t>
      </w:r>
      <w:r>
        <w:t>Dostawa centralnego zasilacza UPS.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6319"/>
        <w:gridCol w:w="2263"/>
      </w:tblGrid>
      <w:tr w:rsidR="000F2E73" w14:paraId="5AEEF599" w14:textId="77777777" w:rsidTr="00BA7C94">
        <w:trPr>
          <w:trHeight w:val="504"/>
        </w:trPr>
        <w:tc>
          <w:tcPr>
            <w:tcW w:w="480" w:type="dxa"/>
            <w:shd w:val="clear" w:color="auto" w:fill="D9D9D9" w:themeFill="background1" w:themeFillShade="D9"/>
            <w:vAlign w:val="center"/>
          </w:tcPr>
          <w:p w14:paraId="4033EC39" w14:textId="77777777" w:rsidR="000F2E73" w:rsidRDefault="000F2E73" w:rsidP="00BA7C94">
            <w:pPr>
              <w:spacing w:before="100" w:beforeAutospacing="1" w:after="120" w:line="276" w:lineRule="auto"/>
              <w:jc w:val="center"/>
            </w:pPr>
            <w:r>
              <w:t>Lp.</w:t>
            </w:r>
          </w:p>
        </w:tc>
        <w:tc>
          <w:tcPr>
            <w:tcW w:w="6319" w:type="dxa"/>
            <w:shd w:val="clear" w:color="auto" w:fill="D9D9D9" w:themeFill="background1" w:themeFillShade="D9"/>
            <w:vAlign w:val="center"/>
          </w:tcPr>
          <w:p w14:paraId="22FA2AF7" w14:textId="77777777" w:rsidR="000F2E73" w:rsidRDefault="000F2E73" w:rsidP="00BA7C94">
            <w:pPr>
              <w:spacing w:before="100" w:beforeAutospacing="1" w:after="120" w:line="276" w:lineRule="auto"/>
              <w:jc w:val="center"/>
            </w:pPr>
            <w:r>
              <w:t>Nazwa</w:t>
            </w:r>
          </w:p>
        </w:tc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724EFA8D" w14:textId="77777777" w:rsidR="000F2E73" w:rsidRDefault="000F2E73" w:rsidP="00BA7C94">
            <w:pPr>
              <w:spacing w:before="100" w:beforeAutospacing="1" w:after="120" w:line="276" w:lineRule="auto"/>
              <w:jc w:val="center"/>
            </w:pPr>
            <w:r>
              <w:t>Ilość</w:t>
            </w:r>
          </w:p>
        </w:tc>
      </w:tr>
      <w:tr w:rsidR="007650E5" w14:paraId="1DB24B64" w14:textId="77777777" w:rsidTr="00750268">
        <w:tc>
          <w:tcPr>
            <w:tcW w:w="480" w:type="dxa"/>
          </w:tcPr>
          <w:p w14:paraId="1C50CA86" w14:textId="77777777" w:rsidR="007650E5" w:rsidRDefault="007650E5" w:rsidP="007650E5">
            <w:pPr>
              <w:spacing w:before="100" w:beforeAutospacing="1" w:after="120" w:line="276" w:lineRule="auto"/>
            </w:pPr>
            <w:r>
              <w:t>1.</w:t>
            </w:r>
          </w:p>
        </w:tc>
        <w:tc>
          <w:tcPr>
            <w:tcW w:w="6319" w:type="dxa"/>
          </w:tcPr>
          <w:p w14:paraId="62762549" w14:textId="1B4FFC43" w:rsidR="007650E5" w:rsidRDefault="0047175C" w:rsidP="007650E5">
            <w:pPr>
              <w:spacing w:before="100" w:beforeAutospacing="1" w:after="120" w:line="276" w:lineRule="auto"/>
            </w:pPr>
            <w:r w:rsidRPr="0047175C">
              <w:t>Zakup centralnego zasilacza UPS</w:t>
            </w:r>
          </w:p>
        </w:tc>
        <w:tc>
          <w:tcPr>
            <w:tcW w:w="2263" w:type="dxa"/>
            <w:vAlign w:val="center"/>
          </w:tcPr>
          <w:p w14:paraId="69813A9B" w14:textId="2B2418E5" w:rsidR="007650E5" w:rsidRDefault="007650E5" w:rsidP="007650E5">
            <w:pPr>
              <w:spacing w:before="100" w:beforeAutospacing="1" w:after="120" w:line="276" w:lineRule="auto"/>
              <w:jc w:val="center"/>
            </w:pPr>
            <w:r>
              <w:t>1 szt.</w:t>
            </w:r>
          </w:p>
        </w:tc>
      </w:tr>
    </w:tbl>
    <w:p w14:paraId="1E63815E" w14:textId="77777777" w:rsidR="000F2E73" w:rsidRDefault="000F2E73" w:rsidP="008B0DAF">
      <w:pPr>
        <w:spacing w:before="100" w:beforeAutospacing="1" w:after="120" w:line="276" w:lineRule="auto"/>
        <w:jc w:val="both"/>
      </w:pPr>
    </w:p>
    <w:p w14:paraId="4F7A7265" w14:textId="77777777" w:rsidR="003A7C6B" w:rsidRDefault="003A7C6B" w:rsidP="008B0DAF">
      <w:pPr>
        <w:spacing w:line="276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2" w:name="_Toc95157232"/>
      <w:r>
        <w:br w:type="page"/>
      </w:r>
    </w:p>
    <w:p w14:paraId="00DABB98" w14:textId="169439CF" w:rsidR="003A7C6B" w:rsidRDefault="003A7C6B" w:rsidP="008B0DAF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3" w:name="_Toc215481027"/>
      <w:r>
        <w:lastRenderedPageBreak/>
        <w:t>Zasada równoważności rozwiązań i neutralności technologicznej.</w:t>
      </w:r>
      <w:bookmarkEnd w:id="2"/>
      <w:bookmarkEnd w:id="3"/>
    </w:p>
    <w:p w14:paraId="625B6532" w14:textId="77777777" w:rsidR="003A7C6B" w:rsidRPr="00E205C9" w:rsidRDefault="003A7C6B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14:paraId="67462B18" w14:textId="77777777" w:rsidR="003A7C6B" w:rsidRPr="00E205C9" w:rsidRDefault="003A7C6B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14:paraId="09F02DA9" w14:textId="77777777" w:rsidR="003A7C6B" w:rsidRPr="00E205C9" w:rsidRDefault="003A7C6B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Użycie w opisie przedmiotu zamówienia nazw rozwiązań</w:t>
      </w:r>
      <w:r>
        <w:t xml:space="preserve"> </w:t>
      </w:r>
      <w:r w:rsidRPr="00E205C9">
        <w:t>służy ustaleniu minimalnego standardu wykonania i określenia właściwości i wymogów technicznych założonych w dokumentacji technicznej dla projektowanych rozwiązań</w:t>
      </w:r>
      <w:r>
        <w:t xml:space="preserve"> lub też stosowane jest w celu wskazania aktualnie użytkowanego środowiska Zamawiającego, z którym rozwiązanie równoważne powinno być kompatybilne.</w:t>
      </w:r>
    </w:p>
    <w:p w14:paraId="5E145C1F" w14:textId="77777777" w:rsidR="003A7C6B" w:rsidRPr="00E205C9" w:rsidRDefault="003A7C6B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Wykonawca zobligowany jest do wykazania, że oferowane rozwiązania równoważne spełnią zakładane wymagania minimalne. </w:t>
      </w:r>
      <w:r>
        <w:t>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4E1F0626" w14:textId="77777777" w:rsidR="003A7C6B" w:rsidRPr="00E205C9" w:rsidRDefault="003A7C6B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Brak określenia „minimum” oznacza wymaganie na poziomie minimalnym, a Wykonawca może zaoferować rozwiązanie o lepszych parametrach.</w:t>
      </w:r>
    </w:p>
    <w:p w14:paraId="173BC76F" w14:textId="77777777" w:rsidR="003A7C6B" w:rsidRPr="00E205C9" w:rsidRDefault="003A7C6B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14:paraId="6B5EA8D1" w14:textId="77777777" w:rsidR="003A7C6B" w:rsidRPr="00E205C9" w:rsidRDefault="003A7C6B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14:paraId="297F3C4F" w14:textId="77777777" w:rsidR="003A7C6B" w:rsidRDefault="003A7C6B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</w:t>
      </w:r>
    </w:p>
    <w:p w14:paraId="46E87F6F" w14:textId="77777777" w:rsidR="003A7C6B" w:rsidRDefault="003A7C6B">
      <w:pPr>
        <w:pStyle w:val="Akapitzlist"/>
        <w:numPr>
          <w:ilvl w:val="0"/>
          <w:numId w:val="2"/>
        </w:numPr>
        <w:spacing w:before="100" w:beforeAutospacing="1" w:after="120" w:line="276" w:lineRule="auto"/>
        <w:ind w:right="72"/>
        <w:jc w:val="both"/>
      </w:pPr>
      <w:r w:rsidRPr="00E205C9">
        <w:t xml:space="preserve">Dodatkowo, wszędzie tam, gdzie zostało wskazane pochodzenie (marka, znak towarowy, producent, dostawca itp.) materiałów lub normy, aprobaty, specyfikacje i systemy, o których </w:t>
      </w:r>
      <w:r w:rsidRPr="00E205C9">
        <w:lastRenderedPageBreak/>
        <w:t>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14:paraId="7944F7D6" w14:textId="15844760" w:rsidR="007434EC" w:rsidRDefault="007434EC" w:rsidP="008B0DAF">
      <w:pPr>
        <w:spacing w:before="100" w:beforeAutospacing="1" w:after="120" w:line="276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5B669CE" w14:textId="77777777" w:rsidR="003E28EE" w:rsidRDefault="003E28EE" w:rsidP="006E73F8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4" w:name="_Toc215481028"/>
      <w:r>
        <w:lastRenderedPageBreak/>
        <w:t>Wymagania ogólne.</w:t>
      </w:r>
      <w:bookmarkEnd w:id="4"/>
    </w:p>
    <w:p w14:paraId="486C6FEA" w14:textId="77777777" w:rsidR="003E28EE" w:rsidRDefault="003E28EE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Dostarczony sprzęt i oprogramowanie muszą być wolne od wad prawnych i fizycznych oraz nienoszący oznak użytkowania. </w:t>
      </w:r>
    </w:p>
    <w:p w14:paraId="030E371B" w14:textId="4DBE65B2" w:rsidR="003E28EE" w:rsidRDefault="003E28EE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Dostarczony sprzęt i oprogramowanie muszą być fabrycznie nowe (tzn. wyprodukowane nie wcześniej, niż na </w:t>
      </w:r>
      <w:r w:rsidR="006E73F8">
        <w:t>12</w:t>
      </w:r>
      <w:r>
        <w:t xml:space="preserve"> miesięcy przed ich dostarczeniem), muszą pochodzić z oficjalnego kanału sprzedaży producenta na rynek polski, pochodzić z seryjnej produkcji z uwzględnieniem opcji konfiguracyjnych przewidzianych przez producenta dla oferowanego modelu sprzętu i</w:t>
      </w:r>
      <w:r w:rsidR="00BE6847">
        <w:t> </w:t>
      </w:r>
      <w:r>
        <w:t xml:space="preserve">oprogramowania. </w:t>
      </w:r>
    </w:p>
    <w:p w14:paraId="28D4ECE8" w14:textId="77777777" w:rsidR="00BE6847" w:rsidRDefault="003E28EE">
      <w:pPr>
        <w:pStyle w:val="Akapitzlist"/>
        <w:numPr>
          <w:ilvl w:val="0"/>
          <w:numId w:val="3"/>
        </w:numPr>
        <w:spacing w:line="276" w:lineRule="auto"/>
        <w:jc w:val="both"/>
      </w:pPr>
      <w:r>
        <w:t>Niedopuszczalne są produkty prototypowe, nie dopuszcza się urządzeń długotrwale magazynowanych oraz pochodzących z programów wyprzedażowych producenta. Urządzenia nie mogą znajdować się na liście „end-of-sale”, „end-of-</w:t>
      </w:r>
      <w:proofErr w:type="spellStart"/>
      <w:r>
        <w:t>support</w:t>
      </w:r>
      <w:proofErr w:type="spellEnd"/>
      <w:r>
        <w:t>”, „end-of-life” producenta</w:t>
      </w:r>
      <w:r w:rsidR="00BE6847">
        <w:t xml:space="preserve"> lub innych listach prowadzonych przez producentów produktów świadczących o tym, że produkt został wycofany ze sprzedaży, wsparcie dla niego zostało zakończone lub producent </w:t>
      </w:r>
      <w:r w:rsidR="00BE6847" w:rsidRPr="007B67E9">
        <w:t xml:space="preserve">zaprzestaje wydawania aktualizacji, poprawek bezpieczeństwa czy też napraw dla </w:t>
      </w:r>
      <w:r w:rsidR="00BE6847">
        <w:t>produktu.</w:t>
      </w:r>
    </w:p>
    <w:p w14:paraId="5CD21718" w14:textId="58A6B3FB" w:rsidR="003E28EE" w:rsidRDefault="003E28EE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Wymagana ilość i rozmieszczenie (na zewnątrz obudowy) jakichkolwiek portów nie może być osiągnięta w wyniku stosowania konwerterów, przejściówek, itp., niedopuszczalne jest zastosowanie jakichkolwiek zewnętrznych przejściówek czy konwerterów. </w:t>
      </w:r>
      <w:r w:rsidR="00C5509A">
        <w:t>Niedopuszczalna jest realizacja tylko części funkcji bądź wymaganych standardów zamiast innych określonych jako minimalne w niniejszym dokumencie. Wszystkie wymagania minimalne muszą zostać zapewnione przez dostarczane produkty bez konieczności zakupu żadnych dodatkowych elementów przez Zamawiającego, chyba że z niniejszego dokumentu wynika inaczej.</w:t>
      </w:r>
    </w:p>
    <w:p w14:paraId="085DDCF3" w14:textId="213070CD" w:rsidR="003E28EE" w:rsidRDefault="003E28EE">
      <w:pPr>
        <w:pStyle w:val="Akapitzlist"/>
        <w:numPr>
          <w:ilvl w:val="0"/>
          <w:numId w:val="3"/>
        </w:numPr>
        <w:spacing w:line="276" w:lineRule="auto"/>
        <w:jc w:val="both"/>
      </w:pPr>
      <w:r>
        <w:t>Wykonawca zapewni dostawę do wskazanej lokalizacji</w:t>
      </w:r>
      <w:r w:rsidR="006E73F8">
        <w:t xml:space="preserve"> przez </w:t>
      </w:r>
      <w:r>
        <w:t xml:space="preserve">Zamawiającego. </w:t>
      </w:r>
    </w:p>
    <w:p w14:paraId="13F209C2" w14:textId="77777777" w:rsidR="003E28EE" w:rsidRDefault="003E28EE">
      <w:pPr>
        <w:pStyle w:val="Akapitzlist"/>
        <w:numPr>
          <w:ilvl w:val="0"/>
          <w:numId w:val="3"/>
        </w:numPr>
        <w:spacing w:line="276" w:lineRule="auto"/>
        <w:jc w:val="both"/>
      </w:pPr>
      <w:r>
        <w:t>Wykonawca jest odpowiedzialny za skonfigurowanie połączeń fizycznych, logicznych, podłączenie i skonfigurowanie urządzeń do działania, pozwalające na rozpoczęcie pracy oraz dostarczenie odpowiedniej ilości kabli zasilających, połączeniowych w celu przygotowania zamawianego sprzętu do działania.</w:t>
      </w:r>
    </w:p>
    <w:p w14:paraId="476D19C7" w14:textId="77777777" w:rsidR="003E28EE" w:rsidRDefault="003E28EE">
      <w:pPr>
        <w:pStyle w:val="Akapitzlist"/>
        <w:numPr>
          <w:ilvl w:val="0"/>
          <w:numId w:val="3"/>
        </w:numPr>
        <w:spacing w:line="276" w:lineRule="auto"/>
        <w:jc w:val="both"/>
      </w:pPr>
      <w:r>
        <w:t>Wykonawca zobowiązany jest do skonfigurowania zamawianego sprzętu w uzgodnieniu z Zamawiającym.</w:t>
      </w:r>
    </w:p>
    <w:p w14:paraId="3F82CEBB" w14:textId="77777777" w:rsidR="003E28EE" w:rsidRDefault="003E28EE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Prace instalacyjne będzie można realizować wyłącznie w terminach uzgodnionych z Zamawiającym. </w:t>
      </w:r>
    </w:p>
    <w:p w14:paraId="1841BF97" w14:textId="77777777" w:rsidR="003E28EE" w:rsidRDefault="003E28EE">
      <w:pPr>
        <w:pStyle w:val="Akapitzlist"/>
        <w:numPr>
          <w:ilvl w:val="0"/>
          <w:numId w:val="3"/>
        </w:numPr>
        <w:spacing w:line="276" w:lineRule="auto"/>
        <w:jc w:val="both"/>
      </w:pPr>
      <w:r>
        <w:t>Wykonawca będzie zobowiązany do złożenia dokumentacji powykonawczej, zawierającej w szczególności wszystkie dane dostępu do urządzeń i oprogramowania, które będą wykorzystywane podczas instalacji i konfiguracji sprzętu i oprogramowania.</w:t>
      </w:r>
    </w:p>
    <w:p w14:paraId="7E8DC5C6" w14:textId="77777777" w:rsidR="0044138D" w:rsidRDefault="0044138D">
      <w:pPr>
        <w:pStyle w:val="Akapitzlist"/>
        <w:numPr>
          <w:ilvl w:val="0"/>
          <w:numId w:val="3"/>
        </w:numPr>
        <w:spacing w:line="276" w:lineRule="auto"/>
        <w:jc w:val="both"/>
      </w:pPr>
      <w:r>
        <w:t>W poniżej wskazanych wymaganiach Zamawiający posługuje się terminami „musi”, „powinien”, „możliwość” określając w ten sposób wymaganą funkcjonalność oprogramowania.</w:t>
      </w:r>
    </w:p>
    <w:p w14:paraId="18BFEE70" w14:textId="355B6194" w:rsidR="00A256BF" w:rsidRDefault="006E73F8" w:rsidP="006E73F8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5" w:name="_Toc215481029"/>
      <w:r>
        <w:t>Opis przedmiotu zamówienia dla części nr 1.</w:t>
      </w:r>
      <w:bookmarkEnd w:id="5"/>
    </w:p>
    <w:p w14:paraId="1B1A4A7B" w14:textId="77777777" w:rsidR="005949A3" w:rsidRPr="005949A3" w:rsidRDefault="005949A3" w:rsidP="005949A3">
      <w:pPr>
        <w:jc w:val="both"/>
      </w:pPr>
      <w:r w:rsidRPr="005949A3">
        <w:t>Przedmiotem zamówienia jest dostawa agregatu prądotwórczego stacjonarnego trójfazowego o mocy min. 62 KW (78 kVA).</w:t>
      </w:r>
    </w:p>
    <w:p w14:paraId="5AA80B93" w14:textId="77777777" w:rsidR="005949A3" w:rsidRPr="005949A3" w:rsidRDefault="005949A3" w:rsidP="005949A3">
      <w:pPr>
        <w:jc w:val="both"/>
        <w:rPr>
          <w:b/>
          <w:bCs/>
        </w:rPr>
      </w:pPr>
      <w:r w:rsidRPr="005949A3">
        <w:rPr>
          <w:b/>
          <w:bCs/>
        </w:rPr>
        <w:t xml:space="preserve">Wymagania ogólne agregatu prądotwórczego: </w:t>
      </w:r>
    </w:p>
    <w:p w14:paraId="7BD0FDC3" w14:textId="77777777" w:rsidR="005949A3" w:rsidRPr="005949A3" w:rsidRDefault="005949A3">
      <w:pPr>
        <w:numPr>
          <w:ilvl w:val="0"/>
          <w:numId w:val="6"/>
        </w:numPr>
        <w:jc w:val="both"/>
      </w:pPr>
      <w:r w:rsidRPr="005949A3">
        <w:t xml:space="preserve">Agregat, w obudowie przystosowanej do eksploatacji na zewnątrz, odporny na czynniki atmosferyczne, poziom hałasu nie większy niż 80 </w:t>
      </w:r>
      <w:proofErr w:type="spellStart"/>
      <w:r w:rsidRPr="005949A3">
        <w:t>dB</w:t>
      </w:r>
      <w:proofErr w:type="spellEnd"/>
      <w:r w:rsidRPr="005949A3">
        <w:t>(A) w odległości 7 m.</w:t>
      </w:r>
    </w:p>
    <w:p w14:paraId="1BA4093E" w14:textId="77777777" w:rsidR="005949A3" w:rsidRDefault="005949A3">
      <w:pPr>
        <w:numPr>
          <w:ilvl w:val="0"/>
          <w:numId w:val="6"/>
        </w:numPr>
        <w:jc w:val="both"/>
      </w:pPr>
      <w:r w:rsidRPr="005949A3">
        <w:lastRenderedPageBreak/>
        <w:t>Rama – metalowa, z amortyzatorami antywibracyjnymi.</w:t>
      </w:r>
    </w:p>
    <w:p w14:paraId="3C85683F" w14:textId="77777777" w:rsidR="00634B58" w:rsidRPr="005949A3" w:rsidRDefault="00634B58" w:rsidP="00634B58">
      <w:pPr>
        <w:numPr>
          <w:ilvl w:val="0"/>
          <w:numId w:val="6"/>
        </w:numPr>
        <w:jc w:val="both"/>
      </w:pPr>
      <w:r>
        <w:t xml:space="preserve">Gwarancja </w:t>
      </w:r>
      <w:r w:rsidRPr="0071146D">
        <w:t xml:space="preserve">24 miesiące / limit 1000 </w:t>
      </w:r>
      <w:proofErr w:type="spellStart"/>
      <w:r w:rsidRPr="0071146D">
        <w:t>mtg</w:t>
      </w:r>
      <w:proofErr w:type="spellEnd"/>
      <w:r>
        <w:t>.</w:t>
      </w:r>
    </w:p>
    <w:p w14:paraId="7F035C79" w14:textId="77777777" w:rsidR="005949A3" w:rsidRPr="005949A3" w:rsidRDefault="005949A3" w:rsidP="005949A3">
      <w:pPr>
        <w:jc w:val="both"/>
        <w:rPr>
          <w:b/>
          <w:bCs/>
        </w:rPr>
      </w:pPr>
      <w:r w:rsidRPr="005949A3">
        <w:rPr>
          <w:b/>
          <w:bCs/>
        </w:rPr>
        <w:t xml:space="preserve">Wymagane wyposażenie agregatu prądotwórczego: </w:t>
      </w:r>
    </w:p>
    <w:p w14:paraId="3EFF7CB4" w14:textId="77777777" w:rsidR="005949A3" w:rsidRPr="005949A3" w:rsidRDefault="005949A3">
      <w:pPr>
        <w:numPr>
          <w:ilvl w:val="0"/>
          <w:numId w:val="7"/>
        </w:numPr>
        <w:jc w:val="both"/>
        <w:rPr>
          <w:b/>
          <w:bCs/>
        </w:rPr>
      </w:pPr>
      <w:r w:rsidRPr="005949A3">
        <w:rPr>
          <w:b/>
          <w:bCs/>
        </w:rPr>
        <w:t>Parametry silnika:</w:t>
      </w:r>
    </w:p>
    <w:p w14:paraId="6A5FCAD9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>Silnik wysokoprężny z bezpośrednim wtryskiem paliwa, chłodzony cieczą wyposażony w automatyczny, elektroniczny regulator prędkości obrotowej silnika.</w:t>
      </w:r>
    </w:p>
    <w:p w14:paraId="77F5CF47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Przystosowany do pracy i rozruchu w niskich temperaturach oraz przystosowany do pracy ciągłej. </w:t>
      </w:r>
    </w:p>
    <w:p w14:paraId="2C1DDEF0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>Moc co najmniej: 62kW/78KVA</w:t>
      </w:r>
    </w:p>
    <w:p w14:paraId="10FE78AE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Układ podgrzewania cieczy chłodzącej i/lub bloku silnika.  </w:t>
      </w:r>
    </w:p>
    <w:p w14:paraId="0D685660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Wyłącznik główny i awaryjny.  </w:t>
      </w:r>
    </w:p>
    <w:p w14:paraId="76C645F6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>Automatyka SZR – zapewniająca automatyczny rozruch i przełączenie zasilania po zaniku napięcia sieciowego, dostosowana do mocy agregatu; dopuszcza się wykonanie zintegrowane z agregatem lub zewnętrzne (szafa SZR).</w:t>
      </w:r>
    </w:p>
    <w:p w14:paraId="2F76EB33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>Zbiornik paliwa zapewniający co najmniej 10 godzin pracy przy 75 % obciążenia.</w:t>
      </w:r>
    </w:p>
    <w:p w14:paraId="0029CEAF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>Agregat powinien być fabrycznie nowy dostarczony z zestawem płynów eksploatacyjnych oraz zestawem akcesoriów niezbędnych do uruchomienia oraz pracy w tym ciecz chłodząca, olej silnikowy oraz zestaw filtrów.</w:t>
      </w:r>
    </w:p>
    <w:p w14:paraId="5EEACA2B" w14:textId="77777777" w:rsidR="005949A3" w:rsidRPr="005949A3" w:rsidRDefault="005949A3">
      <w:pPr>
        <w:numPr>
          <w:ilvl w:val="0"/>
          <w:numId w:val="7"/>
        </w:numPr>
        <w:jc w:val="both"/>
        <w:rPr>
          <w:b/>
          <w:bCs/>
        </w:rPr>
      </w:pPr>
      <w:r w:rsidRPr="005949A3">
        <w:rPr>
          <w:b/>
          <w:bCs/>
        </w:rPr>
        <w:t>Parametry prądnicy:</w:t>
      </w:r>
    </w:p>
    <w:p w14:paraId="705AAF1B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Synchroniczna, </w:t>
      </w:r>
      <w:proofErr w:type="spellStart"/>
      <w:r w:rsidRPr="005949A3">
        <w:t>bezszczotkowa</w:t>
      </w:r>
      <w:proofErr w:type="spellEnd"/>
      <w:r w:rsidRPr="005949A3">
        <w:t>, samowzbudna, wyposażona w regulator napięcia (AVR).</w:t>
      </w:r>
    </w:p>
    <w:p w14:paraId="61FCA514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Minimalny stopień ochrony IP23.  </w:t>
      </w:r>
    </w:p>
    <w:p w14:paraId="3455DD4A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Klasa izolacji uzwojeń- H.  </w:t>
      </w:r>
    </w:p>
    <w:p w14:paraId="5D171E5F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Częstotliwość 50Hz.  </w:t>
      </w:r>
    </w:p>
    <w:p w14:paraId="5AF50F15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Napięcie wyjściowe 400V/230V. </w:t>
      </w:r>
    </w:p>
    <w:p w14:paraId="06507A0A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Liczba faz - 3.  </w:t>
      </w:r>
    </w:p>
    <w:p w14:paraId="58668A34" w14:textId="77777777" w:rsidR="005949A3" w:rsidRPr="005949A3" w:rsidRDefault="005949A3">
      <w:pPr>
        <w:numPr>
          <w:ilvl w:val="0"/>
          <w:numId w:val="7"/>
        </w:numPr>
        <w:jc w:val="both"/>
        <w:rPr>
          <w:b/>
          <w:bCs/>
        </w:rPr>
      </w:pPr>
      <w:r w:rsidRPr="005949A3">
        <w:rPr>
          <w:b/>
          <w:bCs/>
        </w:rPr>
        <w:t>Parametry obudowy:</w:t>
      </w:r>
    </w:p>
    <w:p w14:paraId="70D0CC0C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Obudowa przystosowana do eksploatacji na zewnątrz, odporna na czynniki atmosferyczne, </w:t>
      </w:r>
    </w:p>
    <w:p w14:paraId="1530DC6D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Poziom hałasu nie większy niż 80 </w:t>
      </w:r>
      <w:proofErr w:type="spellStart"/>
      <w:r w:rsidRPr="005949A3">
        <w:t>dB</w:t>
      </w:r>
      <w:proofErr w:type="spellEnd"/>
      <w:r w:rsidRPr="005949A3">
        <w:t>(A) w odległości 7 m.</w:t>
      </w:r>
    </w:p>
    <w:p w14:paraId="0E850303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>Rama – metalowa, z amortyzatorami antywibracyjnymi.</w:t>
      </w:r>
    </w:p>
    <w:p w14:paraId="1FD15386" w14:textId="77777777" w:rsidR="005949A3" w:rsidRPr="005949A3" w:rsidRDefault="005949A3">
      <w:pPr>
        <w:numPr>
          <w:ilvl w:val="0"/>
          <w:numId w:val="7"/>
        </w:numPr>
        <w:jc w:val="both"/>
        <w:rPr>
          <w:b/>
          <w:bCs/>
        </w:rPr>
      </w:pPr>
      <w:r w:rsidRPr="005949A3">
        <w:rPr>
          <w:b/>
          <w:bCs/>
        </w:rPr>
        <w:t>Wymagane wyposażenie:</w:t>
      </w:r>
    </w:p>
    <w:p w14:paraId="3C7DEF75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Elektroniczny panel monitorowania/kontrolowania na obudowie zewnętrznej (lub zabudowany w zamykanej wnęce lub szafce na obudowie) z ekranem wyświetlającym parametry pracy. </w:t>
      </w:r>
    </w:p>
    <w:p w14:paraId="465822B0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lastRenderedPageBreak/>
        <w:t xml:space="preserve">Elektroniczny panel monitorowania/kontrolowania pracy agregatu w zakresie między innymi: </w:t>
      </w:r>
    </w:p>
    <w:p w14:paraId="3E3782D8" w14:textId="77777777" w:rsidR="005949A3" w:rsidRPr="005949A3" w:rsidRDefault="005949A3">
      <w:pPr>
        <w:numPr>
          <w:ilvl w:val="2"/>
          <w:numId w:val="7"/>
        </w:numPr>
        <w:jc w:val="both"/>
      </w:pPr>
      <w:r w:rsidRPr="005949A3">
        <w:t xml:space="preserve">badanie parametrów silnika: pomiar ciśnienia oleju, pomiar temperatury płynu chłodzącego, pomiar prędkości obrotowej silnika, </w:t>
      </w:r>
    </w:p>
    <w:p w14:paraId="72A36831" w14:textId="77777777" w:rsidR="005949A3" w:rsidRPr="005949A3" w:rsidRDefault="005949A3">
      <w:pPr>
        <w:numPr>
          <w:ilvl w:val="2"/>
          <w:numId w:val="7"/>
        </w:numPr>
        <w:jc w:val="both"/>
      </w:pPr>
      <w:r w:rsidRPr="005949A3">
        <w:t xml:space="preserve">układ wyposażony we wskaźniki alarmowe i ostrzegawcze na panelu informujące o zbyt niskie / wysokie obroty, niska / wysoka temperatura płynu chłodzącego, niskie ciśnienie oleju, wysoka temperatura oleju, awaria alternatora silnika napędowego, niskie / wysokie napięcie DC baterii akumulatorów rozruchowych.  </w:t>
      </w:r>
    </w:p>
    <w:p w14:paraId="01E103D6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Licznik motogodzin.  </w:t>
      </w:r>
    </w:p>
    <w:p w14:paraId="305CC8BD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Zabezpieczenie przed przegrzaniem silnika oraz zbyt niskim ciśnieniem oleju w układzie smarowania.  </w:t>
      </w:r>
    </w:p>
    <w:p w14:paraId="728DC3A4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Akumulatory rozruchowe wraz z układem doładowania akumulatorów i kontroli z alarmem przy awarii akumulatorów.  </w:t>
      </w:r>
    </w:p>
    <w:p w14:paraId="43975846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Układ sterowania powinien posiadać funkcję zapamiętywania zdarzeń dotyczących pracy agregatu prądotwórczego. </w:t>
      </w:r>
    </w:p>
    <w:p w14:paraId="20224C46" w14:textId="77777777" w:rsidR="005949A3" w:rsidRPr="005949A3" w:rsidRDefault="005949A3">
      <w:pPr>
        <w:numPr>
          <w:ilvl w:val="0"/>
          <w:numId w:val="7"/>
        </w:numPr>
        <w:jc w:val="both"/>
        <w:rPr>
          <w:b/>
          <w:bCs/>
        </w:rPr>
      </w:pPr>
      <w:r w:rsidRPr="005949A3">
        <w:rPr>
          <w:b/>
          <w:bCs/>
        </w:rPr>
        <w:t>Wymagane dokumenty:</w:t>
      </w:r>
    </w:p>
    <w:p w14:paraId="5ED4E0E9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Instrukcje obsługi w języku polskim lub angielskim: agregatu prądotwórczego, panelu monitorowania/kontrolowania. </w:t>
      </w:r>
    </w:p>
    <w:p w14:paraId="27C52F6D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>Dokumentacja DTR (dokumentacja techniczno-ruchowa).</w:t>
      </w:r>
    </w:p>
    <w:p w14:paraId="52B927D6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 xml:space="preserve">Wymagane atesty, certyfikaty i deklaracji zgodności CE. </w:t>
      </w:r>
    </w:p>
    <w:p w14:paraId="65418FA0" w14:textId="77777777" w:rsidR="005949A3" w:rsidRPr="005949A3" w:rsidRDefault="005949A3">
      <w:pPr>
        <w:numPr>
          <w:ilvl w:val="1"/>
          <w:numId w:val="7"/>
        </w:numPr>
        <w:jc w:val="both"/>
      </w:pPr>
      <w:r w:rsidRPr="005949A3">
        <w:t>Karty katalogowe producenta potwierdzające spełnienie wymagań określonych w opisie przedmiotu zamówienia.</w:t>
      </w:r>
    </w:p>
    <w:p w14:paraId="6D4E8384" w14:textId="3D2EA3F0" w:rsidR="001970C0" w:rsidRPr="00725486" w:rsidRDefault="001970C0" w:rsidP="001970C0">
      <w:pPr>
        <w:jc w:val="both"/>
        <w:rPr>
          <w:b/>
          <w:bCs/>
        </w:rPr>
      </w:pPr>
      <w:r w:rsidRPr="00725486">
        <w:rPr>
          <w:b/>
          <w:bCs/>
        </w:rPr>
        <w:t xml:space="preserve">Zakres usług instalatorskich i konfiguracyjnych </w:t>
      </w:r>
      <w:r w:rsidR="00DA26E0">
        <w:rPr>
          <w:b/>
          <w:bCs/>
        </w:rPr>
        <w:t>agregatu</w:t>
      </w:r>
      <w:r w:rsidRPr="00725486">
        <w:rPr>
          <w:b/>
          <w:bCs/>
        </w:rPr>
        <w:t>.</w:t>
      </w:r>
    </w:p>
    <w:p w14:paraId="5BCE5D8F" w14:textId="272DD0BE" w:rsidR="001970C0" w:rsidRDefault="001970C0" w:rsidP="001970C0">
      <w:pPr>
        <w:pStyle w:val="Akapitzlist"/>
        <w:numPr>
          <w:ilvl w:val="0"/>
          <w:numId w:val="15"/>
        </w:numPr>
        <w:spacing w:line="276" w:lineRule="auto"/>
        <w:jc w:val="both"/>
      </w:pPr>
      <w:r w:rsidRPr="008B5160">
        <w:t xml:space="preserve">Wykonawca </w:t>
      </w:r>
      <w:r>
        <w:t>jest zobowiązany do dostawy urządzenia do lokalizacji wskazanej przez Zamawiającego oraz ustawienie urządzenia po uprzednim rozpakowaniu urządzenia.</w:t>
      </w:r>
      <w:r w:rsidR="00A9300F">
        <w:t xml:space="preserve"> </w:t>
      </w:r>
      <w:r w:rsidR="00A9300F" w:rsidRPr="00A9300F">
        <w:t>Zamawiający może zapewnić Wykonawcy wsparcie przy czynnościach związanych z rozładunkiem urządzenia</w:t>
      </w:r>
      <w:r w:rsidR="00A9300F">
        <w:t>.</w:t>
      </w:r>
    </w:p>
    <w:p w14:paraId="1841389C" w14:textId="5B978658" w:rsidR="001970C0" w:rsidRPr="008B5160" w:rsidRDefault="001970C0" w:rsidP="001970C0">
      <w:pPr>
        <w:pStyle w:val="Akapitzlist"/>
        <w:numPr>
          <w:ilvl w:val="0"/>
          <w:numId w:val="15"/>
        </w:numPr>
        <w:spacing w:line="276" w:lineRule="auto"/>
        <w:jc w:val="both"/>
      </w:pPr>
      <w:r>
        <w:t>Wykonawca jest odpowiedzialny za dokonanie pierwszego uruchomienia urządzania oraz podstawowej konfiguracji urządzenia.</w:t>
      </w:r>
    </w:p>
    <w:p w14:paraId="16E81BCE" w14:textId="77777777" w:rsidR="001970C0" w:rsidRPr="00725486" w:rsidRDefault="001970C0" w:rsidP="001970C0">
      <w:pPr>
        <w:jc w:val="both"/>
        <w:rPr>
          <w:b/>
          <w:bCs/>
        </w:rPr>
      </w:pPr>
      <w:r w:rsidRPr="00725486">
        <w:rPr>
          <w:b/>
          <w:bCs/>
        </w:rPr>
        <w:t>Instruktaże</w:t>
      </w:r>
      <w:r>
        <w:rPr>
          <w:b/>
          <w:bCs/>
        </w:rPr>
        <w:t>.</w:t>
      </w:r>
    </w:p>
    <w:p w14:paraId="617F740B" w14:textId="250A3CD9" w:rsidR="001970C0" w:rsidRPr="00F00D37" w:rsidRDefault="001970C0" w:rsidP="001970C0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>Instruktaże stanowiskowe będą prowadzone w języku polskim w siedzibie Zamawiającego i obejmą m.in.:</w:t>
      </w:r>
      <w:r>
        <w:t xml:space="preserve"> </w:t>
      </w:r>
      <w:r w:rsidRPr="00F00D37">
        <w:t xml:space="preserve">Obsługę i konserwację </w:t>
      </w:r>
      <w:r>
        <w:t xml:space="preserve">agregatu; </w:t>
      </w:r>
      <w:r w:rsidRPr="00F00D37">
        <w:t>Monitorowanie i diagnostykę systemu zasilania awaryjnego</w:t>
      </w:r>
      <w:r>
        <w:t>.</w:t>
      </w:r>
    </w:p>
    <w:p w14:paraId="7193AB66" w14:textId="77777777" w:rsidR="001970C0" w:rsidRPr="00F00D37" w:rsidRDefault="001970C0" w:rsidP="001970C0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>Instruktaże stanowiskowe zostaną przeprowadzone przez osoby prowadzące prace instalacyjne w ramach niniejszego zamówienia.</w:t>
      </w:r>
    </w:p>
    <w:p w14:paraId="49236D5A" w14:textId="21CB2336" w:rsidR="001970C0" w:rsidRPr="00F00D37" w:rsidRDefault="001970C0" w:rsidP="001970C0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 xml:space="preserve">Instruktaże powinny trwać minimum </w:t>
      </w:r>
      <w:r w:rsidR="009A2E86">
        <w:t>3</w:t>
      </w:r>
      <w:r w:rsidRPr="00F00D37">
        <w:t xml:space="preserve"> godzin</w:t>
      </w:r>
      <w:r w:rsidR="009A2E86">
        <w:t>y</w:t>
      </w:r>
      <w:r w:rsidRPr="00F00D37">
        <w:t xml:space="preserve"> </w:t>
      </w:r>
      <w:r w:rsidR="009A2E86" w:rsidRPr="00F00D37">
        <w:t>lekcyjni</w:t>
      </w:r>
      <w:r w:rsidR="009A2E86">
        <w:t>e</w:t>
      </w:r>
      <w:r w:rsidRPr="00F00D37">
        <w:t xml:space="preserve"> (45 minut) i będą przeprowadzone dla wskazanej przez Zamawiającego liczby osób (maksymalnie 2 osoby).</w:t>
      </w:r>
    </w:p>
    <w:p w14:paraId="6F26F4ED" w14:textId="77777777" w:rsidR="001970C0" w:rsidRPr="00F00D37" w:rsidRDefault="001970C0" w:rsidP="001970C0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>Zamawiający nie dopuszcza przeprowadzenia instruktaży w trybie zdalnym (online).</w:t>
      </w:r>
    </w:p>
    <w:p w14:paraId="5E3ACDCE" w14:textId="7DD1584C" w:rsidR="001970C0" w:rsidRDefault="001970C0" w:rsidP="006D5386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 xml:space="preserve">Administratorzy rozwiązania po zakończeniu Instruktaży stanowiskowych muszą umieć wykonywać czynności administracyjne związane z obsługą, utrzymaniem i monitoringiem </w:t>
      </w:r>
      <w:r>
        <w:lastRenderedPageBreak/>
        <w:t>agregatu</w:t>
      </w:r>
      <w:r w:rsidRPr="00F00D37">
        <w:t>, znać procedury związane z testowaniem systemu oraz reagowaniem w przypadku awarii zasilania.</w:t>
      </w:r>
      <w:r>
        <w:br w:type="page"/>
      </w:r>
    </w:p>
    <w:p w14:paraId="0F87F758" w14:textId="41C18E84" w:rsidR="00E3345D" w:rsidRDefault="00E3345D" w:rsidP="00E3345D">
      <w:pPr>
        <w:pStyle w:val="Nagwek1"/>
        <w:numPr>
          <w:ilvl w:val="0"/>
          <w:numId w:val="1"/>
        </w:numPr>
        <w:spacing w:before="100" w:beforeAutospacing="1" w:after="120" w:line="276" w:lineRule="auto"/>
      </w:pPr>
      <w:bookmarkStart w:id="6" w:name="_Toc215481030"/>
      <w:r>
        <w:lastRenderedPageBreak/>
        <w:t>Opis przedmiotu zamówienia dla części nr 2.</w:t>
      </w:r>
      <w:bookmarkEnd w:id="6"/>
    </w:p>
    <w:p w14:paraId="7C2AB405" w14:textId="77777777" w:rsidR="00E3345D" w:rsidRPr="00E3345D" w:rsidRDefault="00E3345D" w:rsidP="00E3345D">
      <w:pPr>
        <w:jc w:val="both"/>
      </w:pPr>
      <w:r w:rsidRPr="00E3345D">
        <w:t>Przedmiotem zamówienia jest dostawa zestawu zasilania awaryjnego UPS o mocy minimum 20 kVA (20 kW) wraz z zewnętrzną szafą bateryjną.</w:t>
      </w:r>
    </w:p>
    <w:p w14:paraId="0D491D6E" w14:textId="77777777" w:rsidR="00E3345D" w:rsidRPr="00E3345D" w:rsidRDefault="00E3345D" w:rsidP="00E3345D">
      <w:pPr>
        <w:jc w:val="both"/>
        <w:rPr>
          <w:b/>
          <w:bCs/>
        </w:rPr>
      </w:pPr>
      <w:r w:rsidRPr="00E3345D">
        <w:rPr>
          <w:b/>
          <w:bCs/>
        </w:rPr>
        <w:t xml:space="preserve">Wymagania ogólne: </w:t>
      </w:r>
    </w:p>
    <w:p w14:paraId="48FAB0F2" w14:textId="77777777" w:rsidR="00E3345D" w:rsidRPr="00E3345D" w:rsidRDefault="00E3345D">
      <w:pPr>
        <w:numPr>
          <w:ilvl w:val="0"/>
          <w:numId w:val="8"/>
        </w:numPr>
        <w:jc w:val="both"/>
      </w:pPr>
      <w:r w:rsidRPr="00E3345D">
        <w:t>UPS musi być urządzeniem typu on-line (VFI), pracującym w trybie podwójnej konwersji energii.</w:t>
      </w:r>
    </w:p>
    <w:p w14:paraId="5462FF4A" w14:textId="77777777" w:rsidR="00E3345D" w:rsidRPr="00E3345D" w:rsidRDefault="00E3345D">
      <w:pPr>
        <w:numPr>
          <w:ilvl w:val="0"/>
          <w:numId w:val="8"/>
        </w:numPr>
        <w:jc w:val="both"/>
      </w:pPr>
      <w:r w:rsidRPr="00E3345D">
        <w:t>Urządzenie powinno być fabrycznie nowe, nieużywane, pochodzące z autoryzowanej dystrybucji producenta.</w:t>
      </w:r>
    </w:p>
    <w:p w14:paraId="74E8AFBE" w14:textId="77777777" w:rsidR="00E3345D" w:rsidRPr="00E3345D" w:rsidRDefault="00E3345D">
      <w:pPr>
        <w:numPr>
          <w:ilvl w:val="0"/>
          <w:numId w:val="8"/>
        </w:numPr>
        <w:jc w:val="both"/>
      </w:pPr>
      <w:r w:rsidRPr="00E3345D">
        <w:t>Wszystkie elementy zestawu (UPS, szafa bateryjna, przewody połączeniowe) muszą być wzajemnie kompatybilne i w pełni ze sobą współpracować.</w:t>
      </w:r>
    </w:p>
    <w:p w14:paraId="1DAB0183" w14:textId="77777777" w:rsidR="00E3345D" w:rsidRPr="00E3345D" w:rsidRDefault="00E3345D" w:rsidP="00E3345D">
      <w:pPr>
        <w:jc w:val="both"/>
        <w:rPr>
          <w:b/>
          <w:bCs/>
        </w:rPr>
      </w:pPr>
      <w:r w:rsidRPr="00E3345D">
        <w:rPr>
          <w:b/>
          <w:bCs/>
        </w:rPr>
        <w:t>Wymagania techniczne UPS:</w:t>
      </w:r>
    </w:p>
    <w:p w14:paraId="4465D13C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Typ: on-line (VFI, podwójna konwersja).</w:t>
      </w:r>
    </w:p>
    <w:p w14:paraId="1118D20D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 xml:space="preserve">Moc znamionowa: min. 20 kVA / 20 </w:t>
      </w:r>
      <w:proofErr w:type="spellStart"/>
      <w:r w:rsidRPr="00E3345D">
        <w:t>kW.</w:t>
      </w:r>
      <w:proofErr w:type="spellEnd"/>
    </w:p>
    <w:p w14:paraId="003EFBBE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Konfiguracja pracy: konfigurowalna 3/3 lub 3/1 (trzy fazy wejściowe, trzy lub jedna faza wyjściowa).</w:t>
      </w:r>
    </w:p>
    <w:p w14:paraId="0B4C5249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Możliwość zmiany konfiguracji 3/1 lub 3/3 przez użytkownika bez konieczności odpłatnego wzywania serwisu producenta.</w:t>
      </w:r>
    </w:p>
    <w:p w14:paraId="09FD7F16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Czas przełączania: 0 ms.</w:t>
      </w:r>
    </w:p>
    <w:p w14:paraId="5D011233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Zakres pracy 190–520 V przy 50% obciążenia oraz 305–478 V przy 100% obciążenia.</w:t>
      </w:r>
    </w:p>
    <w:p w14:paraId="0D240759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 xml:space="preserve">Częstotliwość wejściowa: 46–54 </w:t>
      </w:r>
      <w:proofErr w:type="spellStart"/>
      <w:r w:rsidRPr="00E3345D">
        <w:t>Hz</w:t>
      </w:r>
      <w:proofErr w:type="spellEnd"/>
      <w:r w:rsidRPr="00E3345D">
        <w:t xml:space="preserve"> (dla sieci 50 </w:t>
      </w:r>
      <w:proofErr w:type="spellStart"/>
      <w:r w:rsidRPr="00E3345D">
        <w:t>Hz</w:t>
      </w:r>
      <w:proofErr w:type="spellEnd"/>
      <w:r w:rsidRPr="00E3345D">
        <w:t>).</w:t>
      </w:r>
    </w:p>
    <w:p w14:paraId="3A3AA598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Napięcie wyjściowe: 3 × 360/380/400/415 V AC lub 1 × 208/220/230/240 V AC.</w:t>
      </w:r>
    </w:p>
    <w:p w14:paraId="76EF7DE6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Kształt napięcia wyjściowego: czysta sinusoida.</w:t>
      </w:r>
    </w:p>
    <w:p w14:paraId="5CBDDDE9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 xml:space="preserve">Współczynnik mocy (Power </w:t>
      </w:r>
      <w:proofErr w:type="spellStart"/>
      <w:r w:rsidRPr="00E3345D">
        <w:t>Factor</w:t>
      </w:r>
      <w:proofErr w:type="spellEnd"/>
      <w:r w:rsidRPr="00E3345D">
        <w:t>): 1,0.</w:t>
      </w:r>
    </w:p>
    <w:p w14:paraId="7AF70922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Sprawność (AC–AC): nie mniejsza niż 94%.</w:t>
      </w:r>
    </w:p>
    <w:p w14:paraId="72266738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System akumulatorowy: zewnętrzna szafa bateryjna.</w:t>
      </w:r>
    </w:p>
    <w:p w14:paraId="4652B193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Prąd ładowania (regulowany w UPS): 1–12 A.</w:t>
      </w:r>
    </w:p>
    <w:p w14:paraId="6D733356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Panel sterujący: wyświetlacz LCD z panelem kontrolnym umożliwiającym monitorowanie pracy urządzenia.</w:t>
      </w:r>
    </w:p>
    <w:p w14:paraId="77854966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Komunikacja: USB, RS-232, SNMP, EPO.</w:t>
      </w:r>
    </w:p>
    <w:p w14:paraId="4F5DC245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Zabezpieczenia: przeciążenie, zwarcie, przegrzanie, niskie napięcie DC.</w:t>
      </w:r>
    </w:p>
    <w:p w14:paraId="5AF2A06A" w14:textId="77777777" w:rsidR="00E3345D" w:rsidRPr="00E3345D" w:rsidRDefault="00E3345D">
      <w:pPr>
        <w:numPr>
          <w:ilvl w:val="0"/>
          <w:numId w:val="9"/>
        </w:numPr>
        <w:jc w:val="both"/>
      </w:pPr>
      <w:r w:rsidRPr="00E3345D">
        <w:t>Sposób montażu: przystosowany do instalacji w szafie RACK (maks. 3U) z możliwością ustawienia jako wolnostojący (TOWER).</w:t>
      </w:r>
    </w:p>
    <w:p w14:paraId="2900EA0F" w14:textId="77777777" w:rsidR="00E3345D" w:rsidRPr="00E3345D" w:rsidRDefault="00E3345D" w:rsidP="00E3345D">
      <w:pPr>
        <w:jc w:val="both"/>
        <w:rPr>
          <w:b/>
          <w:bCs/>
        </w:rPr>
      </w:pPr>
      <w:r w:rsidRPr="00E3345D">
        <w:rPr>
          <w:b/>
          <w:bCs/>
        </w:rPr>
        <w:t>Parametry szafy bateryjnej:</w:t>
      </w:r>
    </w:p>
    <w:p w14:paraId="23201C57" w14:textId="77777777" w:rsidR="00E3345D" w:rsidRPr="00E3345D" w:rsidRDefault="00E3345D">
      <w:pPr>
        <w:numPr>
          <w:ilvl w:val="0"/>
          <w:numId w:val="10"/>
        </w:numPr>
        <w:jc w:val="both"/>
      </w:pPr>
      <w:r w:rsidRPr="00E3345D">
        <w:t>Szafa bateryjna przeznaczona do współpracy z zasilaczem UPS.</w:t>
      </w:r>
    </w:p>
    <w:p w14:paraId="21EBF5BF" w14:textId="77777777" w:rsidR="00E3345D" w:rsidRPr="00E3345D" w:rsidRDefault="00E3345D">
      <w:pPr>
        <w:numPr>
          <w:ilvl w:val="0"/>
          <w:numId w:val="10"/>
        </w:numPr>
        <w:jc w:val="both"/>
      </w:pPr>
      <w:r w:rsidRPr="00E3345D">
        <w:lastRenderedPageBreak/>
        <w:t>Rodzaj akumulatorów: AGM (VRLA, szczelne, bezobsługowe).</w:t>
      </w:r>
    </w:p>
    <w:p w14:paraId="743F6671" w14:textId="77777777" w:rsidR="00E3345D" w:rsidRPr="00E3345D" w:rsidRDefault="00E3345D">
      <w:pPr>
        <w:numPr>
          <w:ilvl w:val="0"/>
          <w:numId w:val="10"/>
        </w:numPr>
        <w:jc w:val="both"/>
      </w:pPr>
      <w:r w:rsidRPr="00E3345D">
        <w:t>Typ akumulatorów: 12 V / 45 Ah.</w:t>
      </w:r>
    </w:p>
    <w:p w14:paraId="3F49F6E2" w14:textId="77777777" w:rsidR="00E3345D" w:rsidRPr="00E3345D" w:rsidRDefault="00E3345D">
      <w:pPr>
        <w:numPr>
          <w:ilvl w:val="0"/>
          <w:numId w:val="10"/>
        </w:numPr>
        <w:jc w:val="both"/>
      </w:pPr>
      <w:r w:rsidRPr="00E3345D">
        <w:t>Akumulatory bezobsługowe – brak konieczności uzupełniania elektrolitu.</w:t>
      </w:r>
    </w:p>
    <w:p w14:paraId="1391236E" w14:textId="77777777" w:rsidR="00E3345D" w:rsidRPr="00E3345D" w:rsidRDefault="00E3345D">
      <w:pPr>
        <w:numPr>
          <w:ilvl w:val="0"/>
          <w:numId w:val="10"/>
        </w:numPr>
        <w:jc w:val="both"/>
      </w:pPr>
      <w:r w:rsidRPr="00E3345D">
        <w:t>Czas podtrzymania: minimum 30 minut przy 100% obciążeniu.</w:t>
      </w:r>
    </w:p>
    <w:p w14:paraId="4208F8F2" w14:textId="77777777" w:rsidR="00E3345D" w:rsidRPr="00E3345D" w:rsidRDefault="00E3345D">
      <w:pPr>
        <w:numPr>
          <w:ilvl w:val="0"/>
          <w:numId w:val="10"/>
        </w:numPr>
        <w:jc w:val="both"/>
      </w:pPr>
      <w:r w:rsidRPr="00E3345D">
        <w:t>Wymiary szafy bateryjnej: nie większe niż 1000 × 500 × 1200 mm (S x G x W).</w:t>
      </w:r>
    </w:p>
    <w:p w14:paraId="6D43286A" w14:textId="77777777" w:rsidR="00E3345D" w:rsidRPr="00E3345D" w:rsidRDefault="00E3345D">
      <w:pPr>
        <w:numPr>
          <w:ilvl w:val="0"/>
          <w:numId w:val="10"/>
        </w:numPr>
        <w:jc w:val="both"/>
      </w:pPr>
      <w:r w:rsidRPr="00E3345D">
        <w:t>Zabezpieczenie obwodu bateryjnego: wyłącznik nadprądowy.</w:t>
      </w:r>
    </w:p>
    <w:p w14:paraId="447255CE" w14:textId="77777777" w:rsidR="00E3345D" w:rsidRPr="00E3345D" w:rsidRDefault="00E3345D">
      <w:pPr>
        <w:numPr>
          <w:ilvl w:val="0"/>
          <w:numId w:val="10"/>
        </w:numPr>
        <w:jc w:val="both"/>
      </w:pPr>
      <w:r w:rsidRPr="00E3345D">
        <w:t>Połączenia: złącza kablowe przystosowane do współpracy z oferowanym UPS.</w:t>
      </w:r>
    </w:p>
    <w:p w14:paraId="71529DDE" w14:textId="77777777" w:rsidR="00E3345D" w:rsidRPr="00E3345D" w:rsidRDefault="00E3345D" w:rsidP="00E3345D">
      <w:pPr>
        <w:jc w:val="both"/>
        <w:rPr>
          <w:b/>
          <w:bCs/>
        </w:rPr>
      </w:pPr>
      <w:r w:rsidRPr="00E3345D">
        <w:rPr>
          <w:b/>
          <w:bCs/>
        </w:rPr>
        <w:t>Wyposażenie i funkcje dodatkowe:</w:t>
      </w:r>
    </w:p>
    <w:p w14:paraId="097F4C48" w14:textId="77777777" w:rsidR="00E3345D" w:rsidRPr="00E3345D" w:rsidRDefault="00E3345D">
      <w:pPr>
        <w:numPr>
          <w:ilvl w:val="0"/>
          <w:numId w:val="11"/>
        </w:numPr>
        <w:jc w:val="both"/>
      </w:pPr>
      <w:r w:rsidRPr="00E3345D">
        <w:t>Złącze awaryjnego wyłączenia (EPO).</w:t>
      </w:r>
    </w:p>
    <w:p w14:paraId="739E18BB" w14:textId="77777777" w:rsidR="00E3345D" w:rsidRPr="00E3345D" w:rsidRDefault="00E3345D">
      <w:pPr>
        <w:numPr>
          <w:ilvl w:val="0"/>
          <w:numId w:val="11"/>
        </w:numPr>
        <w:jc w:val="both"/>
      </w:pPr>
      <w:r w:rsidRPr="00E3345D">
        <w:t>Funkcja automatycznego testu akumulatorów.</w:t>
      </w:r>
    </w:p>
    <w:p w14:paraId="1327AF14" w14:textId="77777777" w:rsidR="00E3345D" w:rsidRPr="00E3345D" w:rsidRDefault="00E3345D">
      <w:pPr>
        <w:numPr>
          <w:ilvl w:val="0"/>
          <w:numId w:val="11"/>
        </w:numPr>
        <w:jc w:val="both"/>
      </w:pPr>
      <w:r w:rsidRPr="00E3345D">
        <w:t>Możliwość aktualizacji oprogramowania sterownika UPS.</w:t>
      </w:r>
    </w:p>
    <w:p w14:paraId="74745087" w14:textId="77777777" w:rsidR="00E3345D" w:rsidRPr="00E3345D" w:rsidRDefault="00E3345D">
      <w:pPr>
        <w:numPr>
          <w:ilvl w:val="0"/>
          <w:numId w:val="11"/>
        </w:numPr>
        <w:jc w:val="both"/>
      </w:pPr>
      <w:r w:rsidRPr="00E3345D">
        <w:t>System autodiagnostyki i alarmów wizualno-dźwiękowych.</w:t>
      </w:r>
    </w:p>
    <w:p w14:paraId="2D424913" w14:textId="77777777" w:rsidR="00E3345D" w:rsidRPr="00E3345D" w:rsidRDefault="00E3345D">
      <w:pPr>
        <w:numPr>
          <w:ilvl w:val="0"/>
          <w:numId w:val="11"/>
        </w:numPr>
        <w:jc w:val="both"/>
      </w:pPr>
      <w:r w:rsidRPr="00E3345D">
        <w:t>Kable połączeniowe pomiędzy UPS a szafą bateryjną – w zestawie.</w:t>
      </w:r>
    </w:p>
    <w:p w14:paraId="62FA2575" w14:textId="77777777" w:rsidR="00E3345D" w:rsidRPr="00E3345D" w:rsidRDefault="00E3345D">
      <w:pPr>
        <w:numPr>
          <w:ilvl w:val="0"/>
          <w:numId w:val="11"/>
        </w:numPr>
        <w:jc w:val="both"/>
      </w:pPr>
      <w:r w:rsidRPr="00E3345D">
        <w:t>Komplet szyn montażowych do szafy RACK.</w:t>
      </w:r>
    </w:p>
    <w:p w14:paraId="317BE541" w14:textId="77777777" w:rsidR="00E3345D" w:rsidRPr="00E3345D" w:rsidRDefault="00E3345D">
      <w:pPr>
        <w:numPr>
          <w:ilvl w:val="0"/>
          <w:numId w:val="11"/>
        </w:numPr>
        <w:jc w:val="both"/>
      </w:pPr>
      <w:r w:rsidRPr="00E3345D">
        <w:t>Zestaw zasilania awaryjnego musi umożliwiać wykonywanie prac serwisowych bez przerwy w zasilaniu odbiorników poprzez zastosowanie bypassu serwisowego (manualnego). Rozwiązanie to może być zrealizowane jako bypass wbudowany lub zewnętrzny dostarczony w ramach zestawu.</w:t>
      </w:r>
    </w:p>
    <w:p w14:paraId="7916A9BB" w14:textId="77777777" w:rsidR="00E3345D" w:rsidRPr="00E3345D" w:rsidRDefault="00E3345D">
      <w:pPr>
        <w:numPr>
          <w:ilvl w:val="0"/>
          <w:numId w:val="11"/>
        </w:numPr>
        <w:jc w:val="both"/>
      </w:pPr>
      <w:r w:rsidRPr="00E3345D">
        <w:t>Zestaw musi umożliwiać zdalne monitorowanie i zarządzanie pracą UPS przez sieć LAN z wykorzystaniem interfejsu SNMP. Rozwiązanie może być zrealizowane poprzez zintegrowany moduł SNMP lub zewnętrzną kartę SNMP dostarczoną w ramach zestawu.</w:t>
      </w:r>
    </w:p>
    <w:p w14:paraId="757A50D5" w14:textId="77777777" w:rsidR="00E3345D" w:rsidRPr="00E3345D" w:rsidRDefault="00E3345D" w:rsidP="00E3345D">
      <w:pPr>
        <w:jc w:val="both"/>
        <w:rPr>
          <w:b/>
          <w:bCs/>
        </w:rPr>
      </w:pPr>
      <w:r w:rsidRPr="00E3345D">
        <w:rPr>
          <w:b/>
          <w:bCs/>
        </w:rPr>
        <w:t>Dokumentacja i gwarancja:</w:t>
      </w:r>
    </w:p>
    <w:p w14:paraId="707BFCC7" w14:textId="77777777" w:rsidR="00E3345D" w:rsidRPr="00E3345D" w:rsidRDefault="00E3345D">
      <w:pPr>
        <w:numPr>
          <w:ilvl w:val="0"/>
          <w:numId w:val="12"/>
        </w:numPr>
        <w:jc w:val="both"/>
      </w:pPr>
      <w:r w:rsidRPr="00E3345D">
        <w:t>Instrukcje obsługi i instalacji w języku polskim lub angielskim.</w:t>
      </w:r>
    </w:p>
    <w:p w14:paraId="5F9D52CE" w14:textId="77777777" w:rsidR="00E3345D" w:rsidRPr="00E3345D" w:rsidRDefault="00E3345D">
      <w:pPr>
        <w:numPr>
          <w:ilvl w:val="0"/>
          <w:numId w:val="12"/>
        </w:numPr>
        <w:jc w:val="both"/>
      </w:pPr>
      <w:r w:rsidRPr="00E3345D">
        <w:t>Deklaracja zgodności CE oraz certyfikaty bezpieczeństwa.</w:t>
      </w:r>
    </w:p>
    <w:p w14:paraId="317E940F" w14:textId="0EBDC30F" w:rsidR="00E3345D" w:rsidRPr="00E3345D" w:rsidRDefault="00E3345D">
      <w:pPr>
        <w:numPr>
          <w:ilvl w:val="0"/>
          <w:numId w:val="12"/>
        </w:numPr>
        <w:jc w:val="both"/>
      </w:pPr>
      <w:r w:rsidRPr="00E3345D">
        <w:t>Karty katalogowe producenta (UPS, szafa bateryjna, akumulatory)</w:t>
      </w:r>
      <w:r w:rsidR="000D6FEA" w:rsidRPr="000D6FEA">
        <w:t xml:space="preserve"> </w:t>
      </w:r>
      <w:r w:rsidR="000D6FEA" w:rsidRPr="005949A3">
        <w:t>potwierdzające spełnienie wymagań określonych w opisie przedmiotu zamówienia.</w:t>
      </w:r>
    </w:p>
    <w:p w14:paraId="6002DA84" w14:textId="77777777" w:rsidR="00E3345D" w:rsidRPr="00E3345D" w:rsidRDefault="00E3345D">
      <w:pPr>
        <w:numPr>
          <w:ilvl w:val="0"/>
          <w:numId w:val="12"/>
        </w:numPr>
        <w:jc w:val="both"/>
      </w:pPr>
      <w:r w:rsidRPr="00E3345D">
        <w:t>Gwarancja minimum 24 miesiące.</w:t>
      </w:r>
    </w:p>
    <w:p w14:paraId="39936578" w14:textId="77777777" w:rsidR="006E73F8" w:rsidRDefault="006E73F8" w:rsidP="006E73F8"/>
    <w:p w14:paraId="6CAF2B1D" w14:textId="77777777" w:rsidR="00725486" w:rsidRPr="00725486" w:rsidRDefault="00725486" w:rsidP="00725486">
      <w:pPr>
        <w:jc w:val="both"/>
        <w:rPr>
          <w:b/>
          <w:bCs/>
        </w:rPr>
      </w:pPr>
      <w:r w:rsidRPr="00725486">
        <w:rPr>
          <w:b/>
          <w:bCs/>
        </w:rPr>
        <w:t>Zakres usług instalatorskich i konfiguracyjnych UPS.</w:t>
      </w:r>
    </w:p>
    <w:p w14:paraId="1715DFB0" w14:textId="77777777" w:rsidR="00725486" w:rsidRPr="008B5160" w:rsidRDefault="00725486" w:rsidP="00725486">
      <w:pPr>
        <w:pStyle w:val="Akapitzlist"/>
        <w:numPr>
          <w:ilvl w:val="0"/>
          <w:numId w:val="15"/>
        </w:numPr>
        <w:spacing w:line="276" w:lineRule="auto"/>
        <w:jc w:val="both"/>
      </w:pPr>
      <w:r w:rsidRPr="008B5160">
        <w:t>Wykonawca przygotuje projekt techniczny realizacji koncepcji instalacji i konfiguracji UPS-a centralnego, który będzie podtrzymywał zasilanie w całej serwerowni, uwzględniając odpowiednie wymagania dotyczące infrastruktury elektrycznej. Projekt techniczny musi być zgodny z obowiązującymi normami, dobrymi praktykami oraz zaleceniami producenta UPS-a. Projekt techniczny, zwany dalej „projektem technicznym”, musi zawierać:</w:t>
      </w:r>
    </w:p>
    <w:p w14:paraId="3D3328FF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lastRenderedPageBreak/>
        <w:t>Opis koncepcji realizacji prac, przy uwzględnieniu następujących elementów:</w:t>
      </w:r>
      <w:r w:rsidRPr="00F00D37">
        <w:t xml:space="preserve"> Zakres prac instalacyjnych, </w:t>
      </w:r>
      <w:r w:rsidRPr="008B5160">
        <w:t>obejmujący montaż urządzenia UPS, podłączenie do instalacji elektrycznej, zabezpieczeń, instalację systemu monitoringu UPS-a</w:t>
      </w:r>
      <w:r>
        <w:t xml:space="preserve">; </w:t>
      </w:r>
      <w:r w:rsidRPr="00F00D37">
        <w:t>Ewentualne przeróbki instalacji elektrycznej</w:t>
      </w:r>
      <w:r w:rsidRPr="008B5160">
        <w:t xml:space="preserve"> w celu dostosowania jej do wymagań UPS-a (np. zmiana okablowania, dostosowanie rozdzielni elektrycznych, instalacja dodatkowych bezpieczników, rozdzielanie obwodów zasilających)</w:t>
      </w:r>
      <w:r>
        <w:t xml:space="preserve">; </w:t>
      </w:r>
      <w:r w:rsidRPr="00F00D37">
        <w:t>Konfiguracja systemu monitorowania UPS-a; Zabezpieczenia systemu (np. system alarmowy w przypadku przegrzania, przeciążenia, niskiego poziomu naładowania baterii)</w:t>
      </w:r>
      <w:r>
        <w:t xml:space="preserve">; </w:t>
      </w:r>
      <w:r w:rsidRPr="00F00D37">
        <w:t>Dokumentacja dotycząca eksploatacji, procedury testowe oraz harmonogram konserwacji urządzenia UPS.</w:t>
      </w:r>
    </w:p>
    <w:p w14:paraId="6EB8921B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Scenariusze testowe, procedury oraz wzory raportów testów – dokumentacja powinna zawierać szczegółowe scenariusze testów, które będą służyły do weryfikacji poprawności instalacji i działania UPS</w:t>
      </w:r>
      <w:r>
        <w:t>-a</w:t>
      </w:r>
      <w:r w:rsidRPr="008B5160">
        <w:t>. Scenariusze powinny obejmować:</w:t>
      </w:r>
      <w:r>
        <w:t xml:space="preserve"> </w:t>
      </w:r>
      <w:r w:rsidRPr="008B5160">
        <w:t>Testy podłączenia UPS-a do instalacji elektrycznej</w:t>
      </w:r>
      <w:r>
        <w:t xml:space="preserve">; </w:t>
      </w:r>
      <w:r w:rsidRPr="008B5160">
        <w:t>Testy w zakresie przełączania UPS-a na zasilanie awaryjne</w:t>
      </w:r>
      <w:r>
        <w:t xml:space="preserve">; </w:t>
      </w:r>
      <w:r w:rsidRPr="008B5160">
        <w:t>Testy funkcjonalności monitoringu UPS-a</w:t>
      </w:r>
      <w:r>
        <w:t xml:space="preserve">; </w:t>
      </w:r>
      <w:r w:rsidRPr="008B5160">
        <w:t>Testy obciążeniowe, czas pracy na baterii.</w:t>
      </w:r>
    </w:p>
    <w:p w14:paraId="39C9FCFC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Szczegółowy harmonogram realizacji prac instalacyjnych oraz przeróbek instalacji elektrycznej, uwzględniający</w:t>
      </w:r>
      <w:r>
        <w:t xml:space="preserve">: </w:t>
      </w:r>
      <w:r w:rsidRPr="008B5160">
        <w:t>Przygotowanie serwerowni do instalacji UPS-a</w:t>
      </w:r>
      <w:r>
        <w:t xml:space="preserve">; </w:t>
      </w:r>
      <w:r w:rsidRPr="008B5160">
        <w:t>Czas niezbędny na wykonanie ewentualnych przeróbek w instalacji elektrycznej</w:t>
      </w:r>
      <w:r>
        <w:t xml:space="preserve">; </w:t>
      </w:r>
      <w:r w:rsidRPr="008B5160">
        <w:t>Montaż urządzenia UPS, testowanie oraz uruchomienie.</w:t>
      </w:r>
    </w:p>
    <w:p w14:paraId="14FB2E09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Zalecenia przedwdrożeniowe dla Zamawiającego, jeżeli będą wymagane (np. przygotowanie pomieszczeń, dostępność zasilania w odpowiednich fazach, zmiany w rozdzielnicach elektrycznych).</w:t>
      </w:r>
    </w:p>
    <w:p w14:paraId="0321C49F" w14:textId="77777777" w:rsidR="00725486" w:rsidRPr="008B5160" w:rsidRDefault="00725486" w:rsidP="00725486">
      <w:pPr>
        <w:pStyle w:val="Akapitzlist"/>
        <w:numPr>
          <w:ilvl w:val="0"/>
          <w:numId w:val="15"/>
        </w:numPr>
        <w:spacing w:line="276" w:lineRule="auto"/>
        <w:jc w:val="both"/>
      </w:pPr>
      <w:r w:rsidRPr="008B5160">
        <w:t>Akceptacja projektu technicznego</w:t>
      </w:r>
      <w:r>
        <w:t xml:space="preserve">. </w:t>
      </w:r>
      <w:r w:rsidRPr="008B5160">
        <w:t>Akceptacja projektu technicznego wraz z procedurami oraz wzorami raportów z testów będzie podlegała następującej procedurze:</w:t>
      </w:r>
    </w:p>
    <w:p w14:paraId="4180C7D3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Wykonawca przekaże do akceptacji Zamawiającego, drogą elektroniczną projekt techniczny wraz z procedurami oraz wzorami raportów z testów, w terminie nie dłuższym niż 10 dni kalendarzowych od dnia zawarcia umowy.</w:t>
      </w:r>
    </w:p>
    <w:p w14:paraId="047ECF1D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Zamawiający w terminie nie dłuższym niż 7 dni roboczych od dnia dostarczenia przez Wykonawcę kompletnych dokumentów, poinformuje Wykonawcę o ich akceptacji lub konieczności wprowadzenia zmian.</w:t>
      </w:r>
    </w:p>
    <w:p w14:paraId="0FDC2D68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Wszystkie uwagi do dokumentów zgłoszone przez Zamawiającego zostaną wprowadzone przez Wykonawcę, w terminie nie dłuższym niż 5 dni roboczych od dnia ich otrzymania.</w:t>
      </w:r>
    </w:p>
    <w:p w14:paraId="0CC6A628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Zamawiający w terminie 5 dni roboczych od dnia powtórnego dostarczenia przez Wykonawcę poprawionych dokumentów, poinformuje Wykonawcę o ich akceptacji lub konieczności wprowadzenia zmian.</w:t>
      </w:r>
    </w:p>
    <w:p w14:paraId="3BE108ED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W przypadku nieuwzględnienia uwag Zamawiającego, Zamawiający zastrzega sobie prawo do wskazania ostatecznego terminu dostarczenia projektu technicznego wraz z procedurami oraz wzorami raportów z testów.</w:t>
      </w:r>
    </w:p>
    <w:p w14:paraId="43202F02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Zatwierdzony projekt techniczny wraz z procedurami zostaną przekazane Zamawiającemu w 1 egzemplarzu oraz w formie elektronicznej na pendrive, w postaci plików do edycji i PDF.</w:t>
      </w:r>
    </w:p>
    <w:p w14:paraId="44B8416F" w14:textId="77777777" w:rsidR="00725486" w:rsidRPr="008B5160" w:rsidRDefault="00725486" w:rsidP="00725486">
      <w:pPr>
        <w:pStyle w:val="Akapitzlist"/>
        <w:numPr>
          <w:ilvl w:val="0"/>
          <w:numId w:val="15"/>
        </w:numPr>
        <w:spacing w:line="276" w:lineRule="auto"/>
        <w:jc w:val="both"/>
      </w:pPr>
      <w:r w:rsidRPr="008B5160">
        <w:t>Wykonanie instalacji UPS-a centralnego</w:t>
      </w:r>
      <w:r>
        <w:t xml:space="preserve">. </w:t>
      </w:r>
      <w:r w:rsidRPr="008B5160">
        <w:t>Wykonawca przeprowadzi instalację urządzenia UPS-a centralnego w serwerowni zgodnie z zakresem prac i projektem technicznym. W ramach realizacji, Wykonawca wykona następujące zadania:</w:t>
      </w:r>
    </w:p>
    <w:p w14:paraId="6BB313C4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 xml:space="preserve">Montaż urządzenia </w:t>
      </w:r>
      <w:proofErr w:type="gramStart"/>
      <w:r w:rsidRPr="008B5160">
        <w:t xml:space="preserve">UPS </w:t>
      </w:r>
      <w:r>
        <w:t xml:space="preserve"> </w:t>
      </w:r>
      <w:r w:rsidRPr="008B5160">
        <w:t>w</w:t>
      </w:r>
      <w:proofErr w:type="gramEnd"/>
      <w:r w:rsidRPr="008B5160">
        <w:t xml:space="preserve"> wyznaczonym miejscu,</w:t>
      </w:r>
    </w:p>
    <w:p w14:paraId="500A3B3E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Podłączenie UPS-a do źródła zasilania (zasilanie z sieci głównej lub alternatywnego źródła)</w:t>
      </w:r>
      <w:r>
        <w:t>,</w:t>
      </w:r>
    </w:p>
    <w:p w14:paraId="338F88E0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lastRenderedPageBreak/>
        <w:t>Ewentualne przeróbki instalacji elektrycznej (w tym dostosowanie rozdzielni elektrycznych, wymiana okablowania, zabezpieczeń),</w:t>
      </w:r>
    </w:p>
    <w:p w14:paraId="2482BA91" w14:textId="77777777" w:rsidR="00725486" w:rsidRPr="008B5160" w:rsidRDefault="00725486" w:rsidP="00725486">
      <w:pPr>
        <w:pStyle w:val="Akapitzlist"/>
        <w:numPr>
          <w:ilvl w:val="1"/>
          <w:numId w:val="15"/>
        </w:numPr>
        <w:spacing w:line="276" w:lineRule="auto"/>
        <w:jc w:val="both"/>
      </w:pPr>
      <w:r w:rsidRPr="008B5160">
        <w:t>Testowanie wszystkich funkcji UPS-a (praca na zasilaniu akumulatorowym, przełączanie zasilania, monitorowanie)</w:t>
      </w:r>
      <w:r>
        <w:t>.</w:t>
      </w:r>
    </w:p>
    <w:p w14:paraId="463C0133" w14:textId="77777777" w:rsidR="00725486" w:rsidRDefault="00725486" w:rsidP="00725486">
      <w:pPr>
        <w:pStyle w:val="Akapitzlist"/>
        <w:numPr>
          <w:ilvl w:val="0"/>
          <w:numId w:val="15"/>
        </w:numPr>
        <w:spacing w:line="276" w:lineRule="auto"/>
        <w:jc w:val="both"/>
      </w:pPr>
      <w:r w:rsidRPr="008B5160">
        <w:t>Testy akceptacyjn</w:t>
      </w:r>
      <w:r>
        <w:t xml:space="preserve">e. </w:t>
      </w:r>
      <w:r w:rsidRPr="008B5160">
        <w:t>Wykonawca przeprowadzi testy akceptacyjne, w tym m.in.:</w:t>
      </w:r>
      <w:r>
        <w:t xml:space="preserve"> </w:t>
      </w:r>
      <w:r w:rsidRPr="00F00D37">
        <w:t>Testy poprawności podłączenia</w:t>
      </w:r>
      <w:r w:rsidRPr="008B5160">
        <w:t xml:space="preserve"> UPS</w:t>
      </w:r>
      <w:r w:rsidRPr="006E73F8">
        <w:t xml:space="preserve"> </w:t>
      </w:r>
      <w:r w:rsidRPr="008B5160">
        <w:t>do instalacji elektrycznej oraz połączeń z zasilaniem</w:t>
      </w:r>
      <w:r>
        <w:t xml:space="preserve">; </w:t>
      </w:r>
      <w:r w:rsidRPr="00F00D37">
        <w:t>Testy przełączania zasilania</w:t>
      </w:r>
      <w:r w:rsidRPr="008B5160">
        <w:t xml:space="preserve"> z sieci głównej na baterie UPS-a, w tym symulacja zaniku zasilania</w:t>
      </w:r>
      <w:r>
        <w:t xml:space="preserve">; </w:t>
      </w:r>
      <w:r w:rsidRPr="00F00D37">
        <w:t>Testy monitorowania</w:t>
      </w:r>
      <w:r w:rsidRPr="008B5160">
        <w:t xml:space="preserve"> stanu UPS-a (kontrola napięcia, poziomu naładowania baterii, temperatury)</w:t>
      </w:r>
      <w:r>
        <w:t>; T</w:t>
      </w:r>
      <w:r w:rsidRPr="00F00D37">
        <w:t>esty czasów podtrzymania</w:t>
      </w:r>
      <w:r w:rsidRPr="008B5160">
        <w:t xml:space="preserve"> UPS-a przy pełnym obciążeniu</w:t>
      </w:r>
      <w:r>
        <w:t xml:space="preserve">; </w:t>
      </w:r>
      <w:r w:rsidRPr="00F00D37">
        <w:t>Testy zabezpieczeń</w:t>
      </w:r>
      <w:r w:rsidRPr="008B5160">
        <w:t xml:space="preserve"> – symulacja awarii, alarmy o niskim stanie baterii, przegrzaniu</w:t>
      </w:r>
      <w:r>
        <w:t xml:space="preserve">. </w:t>
      </w:r>
      <w:r w:rsidRPr="008B5160">
        <w:t>W przypadku wyników negatywnych, Wykonawca przeprowadzi niezbędne poprawki i testy ponownie, zgodnie z wymaganiami Zamawiającego.</w:t>
      </w:r>
    </w:p>
    <w:p w14:paraId="0706E808" w14:textId="77777777" w:rsidR="00725486" w:rsidRDefault="00725486" w:rsidP="00725486">
      <w:pPr>
        <w:pStyle w:val="Akapitzlist"/>
        <w:numPr>
          <w:ilvl w:val="0"/>
          <w:numId w:val="15"/>
        </w:numPr>
        <w:spacing w:line="276" w:lineRule="auto"/>
        <w:jc w:val="both"/>
      </w:pPr>
      <w:r w:rsidRPr="00F00D37">
        <w:t>Raport z testów i rozwiązania problemów</w:t>
      </w:r>
      <w:r>
        <w:t xml:space="preserve">. </w:t>
      </w:r>
      <w:r w:rsidRPr="008B5160">
        <w:t>Wykonawca opracuje raport z przeprowadzonych testów. W przypadku wykrycia jakichkolwiek nieprawidłowości, Wykonawca zaprezentuje rozwiązanie problemu oraz przeprowadzi ponowne testy. Raport z testów powinien zawierać:</w:t>
      </w:r>
      <w:r>
        <w:t xml:space="preserve"> </w:t>
      </w:r>
      <w:r w:rsidRPr="008B5160">
        <w:t>Szczegółowy opis przeprowadzonych testów</w:t>
      </w:r>
      <w:r>
        <w:t xml:space="preserve">; </w:t>
      </w:r>
      <w:r w:rsidRPr="008B5160">
        <w:t>Wyniki testów</w:t>
      </w:r>
      <w:r>
        <w:t xml:space="preserve">; </w:t>
      </w:r>
      <w:r w:rsidRPr="008B5160">
        <w:t>Dokumentację rozwiązania problemów i wyników ponownych testów.</w:t>
      </w:r>
    </w:p>
    <w:p w14:paraId="2F0040F7" w14:textId="77777777" w:rsidR="00725486" w:rsidRDefault="00725486" w:rsidP="00725486">
      <w:pPr>
        <w:pStyle w:val="Akapitzlist"/>
        <w:numPr>
          <w:ilvl w:val="0"/>
          <w:numId w:val="15"/>
        </w:numPr>
        <w:spacing w:line="276" w:lineRule="auto"/>
        <w:jc w:val="both"/>
      </w:pPr>
      <w:r w:rsidRPr="008B5160">
        <w:t>Dokumentacja powykonawcza</w:t>
      </w:r>
      <w:r>
        <w:t xml:space="preserve">. </w:t>
      </w:r>
      <w:r w:rsidRPr="008B5160">
        <w:t>Wykonawca opracuje dokumentację powykonawczą oraz procedury administracyjne i eksploatacyjne, w tym:</w:t>
      </w:r>
      <w:r>
        <w:t xml:space="preserve"> </w:t>
      </w:r>
      <w:r w:rsidRPr="008B5160">
        <w:t>Dokumentację instalacyjną UPS-a</w:t>
      </w:r>
      <w:r>
        <w:t xml:space="preserve">; </w:t>
      </w:r>
      <w:r w:rsidRPr="008B5160">
        <w:t>Instrukcje obsługi oraz konserwacji urządzenia UPS</w:t>
      </w:r>
      <w:r>
        <w:t xml:space="preserve">; </w:t>
      </w:r>
      <w:r w:rsidRPr="008B5160">
        <w:t>Procedury dotyczące testów okresowych (np. testy awaryjnego zasilania, kontrola baterii)</w:t>
      </w:r>
      <w:r>
        <w:t>.</w:t>
      </w:r>
    </w:p>
    <w:p w14:paraId="37C91734" w14:textId="77777777" w:rsidR="00725486" w:rsidRPr="008B5160" w:rsidRDefault="00725486" w:rsidP="00725486">
      <w:pPr>
        <w:pStyle w:val="Akapitzlist"/>
        <w:spacing w:line="276" w:lineRule="auto"/>
        <w:ind w:left="360"/>
        <w:jc w:val="both"/>
      </w:pPr>
      <w:r w:rsidRPr="008B5160">
        <w:t>Akceptacja dokumentacji powykonawczej będzie przebiegała zgodnie z zasadami określonymi dla akceptacji projektu technicznego.</w:t>
      </w:r>
    </w:p>
    <w:p w14:paraId="388BE6B4" w14:textId="420B7360" w:rsidR="00725486" w:rsidRPr="00725486" w:rsidRDefault="00725486" w:rsidP="00725486">
      <w:pPr>
        <w:jc w:val="both"/>
        <w:rPr>
          <w:b/>
          <w:bCs/>
        </w:rPr>
      </w:pPr>
      <w:r w:rsidRPr="00725486">
        <w:rPr>
          <w:b/>
          <w:bCs/>
        </w:rPr>
        <w:t>Instruktaże</w:t>
      </w:r>
      <w:r>
        <w:rPr>
          <w:b/>
          <w:bCs/>
        </w:rPr>
        <w:t>.</w:t>
      </w:r>
    </w:p>
    <w:p w14:paraId="6A1E65CC" w14:textId="77777777" w:rsidR="00725486" w:rsidRPr="00F00D37" w:rsidRDefault="00725486" w:rsidP="00725486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>Instruktaże stanowiskowe będą prowadzone w języku polskim w siedzibie Zamawiającego i obejmą m.in.:</w:t>
      </w:r>
      <w:r>
        <w:t xml:space="preserve"> </w:t>
      </w:r>
      <w:r w:rsidRPr="00F00D37">
        <w:t>Obsługę i konserwację UPS-a</w:t>
      </w:r>
      <w:r>
        <w:t xml:space="preserve">; </w:t>
      </w:r>
      <w:r w:rsidRPr="00F00D37">
        <w:t>Monitorowanie i diagnostykę systemu zasilania awaryjnego</w:t>
      </w:r>
      <w:r>
        <w:t>.</w:t>
      </w:r>
    </w:p>
    <w:p w14:paraId="2B343E38" w14:textId="77777777" w:rsidR="00725486" w:rsidRPr="00F00D37" w:rsidRDefault="00725486" w:rsidP="00725486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>Instruktaże stanowiskowe zostaną przeprowadzone przez osoby prowadzące prace instalacyjne w ramach niniejszego zamówienia.</w:t>
      </w:r>
    </w:p>
    <w:p w14:paraId="0E43AE88" w14:textId="4069A17D" w:rsidR="00725486" w:rsidRPr="00F00D37" w:rsidRDefault="00725486" w:rsidP="00725486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 xml:space="preserve">Instruktaże powinny trwać minimum </w:t>
      </w:r>
      <w:r w:rsidR="009A2E86">
        <w:t>3</w:t>
      </w:r>
      <w:r w:rsidR="009A2E86" w:rsidRPr="00F00D37">
        <w:t xml:space="preserve"> godzin</w:t>
      </w:r>
      <w:r w:rsidR="009A2E86">
        <w:t>y</w:t>
      </w:r>
      <w:r w:rsidR="009A2E86" w:rsidRPr="00F00D37">
        <w:t xml:space="preserve"> lekcyjni</w:t>
      </w:r>
      <w:r w:rsidR="009A2E86">
        <w:t>e</w:t>
      </w:r>
      <w:r w:rsidR="009A2E86" w:rsidRPr="00F00D37">
        <w:t xml:space="preserve"> </w:t>
      </w:r>
      <w:r w:rsidRPr="00F00D37">
        <w:t>(45 minut) i będą przeprowadzone dla wskazanej przez Zamawiającego liczby osób (maksymalnie 2 osoby).</w:t>
      </w:r>
    </w:p>
    <w:p w14:paraId="558B561F" w14:textId="77777777" w:rsidR="00725486" w:rsidRPr="00F00D37" w:rsidRDefault="00725486" w:rsidP="00725486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>Zamawiający nie dopuszcza przeprowadzenia instruktaży w trybie zdalnym (online).</w:t>
      </w:r>
    </w:p>
    <w:p w14:paraId="5D73BE60" w14:textId="77777777" w:rsidR="00725486" w:rsidRPr="004E7819" w:rsidRDefault="00725486" w:rsidP="00725486">
      <w:pPr>
        <w:pStyle w:val="Akapitzlist"/>
        <w:numPr>
          <w:ilvl w:val="0"/>
          <w:numId w:val="16"/>
        </w:numPr>
        <w:spacing w:line="276" w:lineRule="auto"/>
        <w:jc w:val="both"/>
      </w:pPr>
      <w:r w:rsidRPr="00F00D37">
        <w:t>Administratorzy rozwiązania po zakończeniu Instruktaży stanowiskowych muszą umieć wykonywać czynności administracyjne związane z obsługą, utrzymaniem i monitoringiem UPS-a, znać procedury związane z testowaniem systemu oraz reagowaniem w przypadku awarii zasilania.</w:t>
      </w:r>
    </w:p>
    <w:p w14:paraId="60BF34DA" w14:textId="77777777" w:rsidR="00725486" w:rsidRPr="006E73F8" w:rsidRDefault="00725486" w:rsidP="006E73F8"/>
    <w:sectPr w:rsidR="00725486" w:rsidRPr="006E73F8" w:rsidSect="001B6D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A9CC0" w14:textId="77777777" w:rsidR="00B75EAD" w:rsidRDefault="00B75EAD" w:rsidP="00C145D9">
      <w:pPr>
        <w:spacing w:after="0" w:line="240" w:lineRule="auto"/>
      </w:pPr>
      <w:r>
        <w:separator/>
      </w:r>
    </w:p>
  </w:endnote>
  <w:endnote w:type="continuationSeparator" w:id="0">
    <w:p w14:paraId="7740948E" w14:textId="77777777" w:rsidR="00B75EAD" w:rsidRDefault="00B75EAD" w:rsidP="00C1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6818405"/>
      <w:docPartObj>
        <w:docPartGallery w:val="Page Numbers (Bottom of Page)"/>
        <w:docPartUnique/>
      </w:docPartObj>
    </w:sdtPr>
    <w:sdtContent>
      <w:p w14:paraId="64C54A4F" w14:textId="1EB910A5" w:rsidR="00B25A26" w:rsidRDefault="00B25A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A9B">
          <w:rPr>
            <w:noProof/>
          </w:rPr>
          <w:t>34</w:t>
        </w:r>
        <w:r>
          <w:fldChar w:fldCharType="end"/>
        </w:r>
      </w:p>
    </w:sdtContent>
  </w:sdt>
  <w:p w14:paraId="4B004819" w14:textId="77777777" w:rsidR="00B25A26" w:rsidRDefault="00B25A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0B425" w14:textId="060867A4" w:rsidR="000617BB" w:rsidRDefault="000617BB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0B7CA1DF" wp14:editId="14BC7C30">
          <wp:simplePos x="0" y="0"/>
          <wp:positionH relativeFrom="margin">
            <wp:posOffset>1431925</wp:posOffset>
          </wp:positionH>
          <wp:positionV relativeFrom="paragraph">
            <wp:posOffset>-120015</wp:posOffset>
          </wp:positionV>
          <wp:extent cx="2849880" cy="511175"/>
          <wp:effectExtent l="0" t="0" r="762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8A311" w14:textId="77777777" w:rsidR="00B75EAD" w:rsidRDefault="00B75EAD" w:rsidP="00C145D9">
      <w:pPr>
        <w:spacing w:after="0" w:line="240" w:lineRule="auto"/>
      </w:pPr>
      <w:r>
        <w:separator/>
      </w:r>
    </w:p>
  </w:footnote>
  <w:footnote w:type="continuationSeparator" w:id="0">
    <w:p w14:paraId="2FEB53FF" w14:textId="77777777" w:rsidR="00B75EAD" w:rsidRDefault="00B75EAD" w:rsidP="00C1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6379" w14:textId="2D748BA7" w:rsidR="00B25A26" w:rsidRDefault="000617BB" w:rsidP="0016048D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B1E5D42" wp14:editId="0545A7BE">
          <wp:simplePos x="0" y="0"/>
          <wp:positionH relativeFrom="margin">
            <wp:posOffset>-403860</wp:posOffset>
          </wp:positionH>
          <wp:positionV relativeFrom="paragraph">
            <wp:posOffset>-53975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53F74"/>
    <w:multiLevelType w:val="hybridMultilevel"/>
    <w:tmpl w:val="68D049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B3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E00C86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46467F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463A1A"/>
    <w:multiLevelType w:val="hybridMultilevel"/>
    <w:tmpl w:val="68D049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52996"/>
    <w:multiLevelType w:val="hybridMultilevel"/>
    <w:tmpl w:val="68D049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B0C94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E55209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4D1004"/>
    <w:multiLevelType w:val="hybridMultilevel"/>
    <w:tmpl w:val="32A8C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0768B"/>
    <w:multiLevelType w:val="hybridMultilevel"/>
    <w:tmpl w:val="68D049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D1C60"/>
    <w:multiLevelType w:val="hybridMultilevel"/>
    <w:tmpl w:val="0332C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C015C4"/>
    <w:multiLevelType w:val="hybridMultilevel"/>
    <w:tmpl w:val="9BB29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654B5F"/>
    <w:multiLevelType w:val="hybridMultilevel"/>
    <w:tmpl w:val="68D04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60FC9"/>
    <w:multiLevelType w:val="hybridMultilevel"/>
    <w:tmpl w:val="A5EE05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262269">
    <w:abstractNumId w:val="1"/>
  </w:num>
  <w:num w:numId="2" w16cid:durableId="1072048249">
    <w:abstractNumId w:val="13"/>
  </w:num>
  <w:num w:numId="3" w16cid:durableId="1112938048">
    <w:abstractNumId w:val="11"/>
  </w:num>
  <w:num w:numId="4" w16cid:durableId="1688481784">
    <w:abstractNumId w:val="7"/>
  </w:num>
  <w:num w:numId="5" w16cid:durableId="725107492">
    <w:abstractNumId w:val="3"/>
  </w:num>
  <w:num w:numId="6" w16cid:durableId="12113799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63514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75293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40708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1339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36143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4013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60941878">
    <w:abstractNumId w:val="0"/>
  </w:num>
  <w:num w:numId="14" w16cid:durableId="1642689948">
    <w:abstractNumId w:val="8"/>
  </w:num>
  <w:num w:numId="15" w16cid:durableId="757798539">
    <w:abstractNumId w:val="2"/>
  </w:num>
  <w:num w:numId="16" w16cid:durableId="88063262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E0"/>
    <w:rsid w:val="00000650"/>
    <w:rsid w:val="00000785"/>
    <w:rsid w:val="00001EB0"/>
    <w:rsid w:val="00003C27"/>
    <w:rsid w:val="00003E23"/>
    <w:rsid w:val="000045FB"/>
    <w:rsid w:val="00010115"/>
    <w:rsid w:val="00010B3D"/>
    <w:rsid w:val="00012676"/>
    <w:rsid w:val="00013378"/>
    <w:rsid w:val="000161E5"/>
    <w:rsid w:val="0002122A"/>
    <w:rsid w:val="00023C97"/>
    <w:rsid w:val="00024790"/>
    <w:rsid w:val="000301D6"/>
    <w:rsid w:val="0003458C"/>
    <w:rsid w:val="00036133"/>
    <w:rsid w:val="00045DE6"/>
    <w:rsid w:val="000462C4"/>
    <w:rsid w:val="00046E35"/>
    <w:rsid w:val="0005176A"/>
    <w:rsid w:val="00051B89"/>
    <w:rsid w:val="00053A47"/>
    <w:rsid w:val="00054A16"/>
    <w:rsid w:val="00061243"/>
    <w:rsid w:val="000617BB"/>
    <w:rsid w:val="00063F79"/>
    <w:rsid w:val="00065ED4"/>
    <w:rsid w:val="000661D7"/>
    <w:rsid w:val="00066D7A"/>
    <w:rsid w:val="0006763C"/>
    <w:rsid w:val="00067C53"/>
    <w:rsid w:val="00067DFB"/>
    <w:rsid w:val="000718DA"/>
    <w:rsid w:val="00075331"/>
    <w:rsid w:val="00075671"/>
    <w:rsid w:val="00077BE6"/>
    <w:rsid w:val="00077CD3"/>
    <w:rsid w:val="00080CC5"/>
    <w:rsid w:val="00081293"/>
    <w:rsid w:val="00084004"/>
    <w:rsid w:val="00087E50"/>
    <w:rsid w:val="0009000B"/>
    <w:rsid w:val="00094B2E"/>
    <w:rsid w:val="00095FFA"/>
    <w:rsid w:val="00096D7A"/>
    <w:rsid w:val="00097AF8"/>
    <w:rsid w:val="000A0E1D"/>
    <w:rsid w:val="000A2197"/>
    <w:rsid w:val="000A32A5"/>
    <w:rsid w:val="000A396A"/>
    <w:rsid w:val="000A50DD"/>
    <w:rsid w:val="000A70D6"/>
    <w:rsid w:val="000A75D9"/>
    <w:rsid w:val="000B18A1"/>
    <w:rsid w:val="000B1E22"/>
    <w:rsid w:val="000B213B"/>
    <w:rsid w:val="000B7DFA"/>
    <w:rsid w:val="000C45BC"/>
    <w:rsid w:val="000C5ABA"/>
    <w:rsid w:val="000C729D"/>
    <w:rsid w:val="000D194B"/>
    <w:rsid w:val="000D362E"/>
    <w:rsid w:val="000D38B7"/>
    <w:rsid w:val="000D3B9B"/>
    <w:rsid w:val="000D583C"/>
    <w:rsid w:val="000D6FEA"/>
    <w:rsid w:val="000D7525"/>
    <w:rsid w:val="000D7B90"/>
    <w:rsid w:val="000E0203"/>
    <w:rsid w:val="000E0234"/>
    <w:rsid w:val="000E0DD1"/>
    <w:rsid w:val="000E4B27"/>
    <w:rsid w:val="000E4FA4"/>
    <w:rsid w:val="000F1009"/>
    <w:rsid w:val="000F141B"/>
    <w:rsid w:val="000F2E73"/>
    <w:rsid w:val="000F5A39"/>
    <w:rsid w:val="000F5A99"/>
    <w:rsid w:val="000F6678"/>
    <w:rsid w:val="000F6B70"/>
    <w:rsid w:val="00100A7B"/>
    <w:rsid w:val="001014F0"/>
    <w:rsid w:val="0010357C"/>
    <w:rsid w:val="00106B10"/>
    <w:rsid w:val="001117F0"/>
    <w:rsid w:val="0011203B"/>
    <w:rsid w:val="00113E4F"/>
    <w:rsid w:val="00116032"/>
    <w:rsid w:val="00120A44"/>
    <w:rsid w:val="0012434D"/>
    <w:rsid w:val="00130E2D"/>
    <w:rsid w:val="00151E74"/>
    <w:rsid w:val="00152B04"/>
    <w:rsid w:val="001554D0"/>
    <w:rsid w:val="0016048D"/>
    <w:rsid w:val="001614AC"/>
    <w:rsid w:val="0016221D"/>
    <w:rsid w:val="001670E0"/>
    <w:rsid w:val="00167370"/>
    <w:rsid w:val="001678AA"/>
    <w:rsid w:val="00170DAE"/>
    <w:rsid w:val="00172C6B"/>
    <w:rsid w:val="00175275"/>
    <w:rsid w:val="00180F41"/>
    <w:rsid w:val="0018224D"/>
    <w:rsid w:val="0018767C"/>
    <w:rsid w:val="00191D85"/>
    <w:rsid w:val="00193E7D"/>
    <w:rsid w:val="00196249"/>
    <w:rsid w:val="00196844"/>
    <w:rsid w:val="001970C0"/>
    <w:rsid w:val="001A3C89"/>
    <w:rsid w:val="001B0DBC"/>
    <w:rsid w:val="001B12DB"/>
    <w:rsid w:val="001B3488"/>
    <w:rsid w:val="001B3764"/>
    <w:rsid w:val="001B54AB"/>
    <w:rsid w:val="001B676D"/>
    <w:rsid w:val="001B689F"/>
    <w:rsid w:val="001B6A70"/>
    <w:rsid w:val="001B6D1A"/>
    <w:rsid w:val="001C095D"/>
    <w:rsid w:val="001C3088"/>
    <w:rsid w:val="001C5215"/>
    <w:rsid w:val="001D0F8D"/>
    <w:rsid w:val="001D4538"/>
    <w:rsid w:val="001D6958"/>
    <w:rsid w:val="001D7B10"/>
    <w:rsid w:val="001E08C5"/>
    <w:rsid w:val="001E1CB8"/>
    <w:rsid w:val="001E4497"/>
    <w:rsid w:val="001E66F8"/>
    <w:rsid w:val="001E702A"/>
    <w:rsid w:val="001E75B8"/>
    <w:rsid w:val="001F033F"/>
    <w:rsid w:val="001F6BDA"/>
    <w:rsid w:val="002017D5"/>
    <w:rsid w:val="00201DBE"/>
    <w:rsid w:val="0020297C"/>
    <w:rsid w:val="00206B38"/>
    <w:rsid w:val="00207D11"/>
    <w:rsid w:val="0021084A"/>
    <w:rsid w:val="00214330"/>
    <w:rsid w:val="002151C6"/>
    <w:rsid w:val="00216D2E"/>
    <w:rsid w:val="00220ED3"/>
    <w:rsid w:val="002222F9"/>
    <w:rsid w:val="0022629C"/>
    <w:rsid w:val="00227DCD"/>
    <w:rsid w:val="002321C7"/>
    <w:rsid w:val="002359F2"/>
    <w:rsid w:val="00235A0D"/>
    <w:rsid w:val="00237E3E"/>
    <w:rsid w:val="00240ACD"/>
    <w:rsid w:val="0025030E"/>
    <w:rsid w:val="002528A6"/>
    <w:rsid w:val="002528B2"/>
    <w:rsid w:val="00253748"/>
    <w:rsid w:val="00254339"/>
    <w:rsid w:val="00255CF1"/>
    <w:rsid w:val="002560E1"/>
    <w:rsid w:val="00256885"/>
    <w:rsid w:val="002631CC"/>
    <w:rsid w:val="00265F85"/>
    <w:rsid w:val="0026741E"/>
    <w:rsid w:val="00275C0B"/>
    <w:rsid w:val="00280C65"/>
    <w:rsid w:val="00286A33"/>
    <w:rsid w:val="00286B24"/>
    <w:rsid w:val="002874D7"/>
    <w:rsid w:val="00291AF4"/>
    <w:rsid w:val="002952B7"/>
    <w:rsid w:val="002A11BE"/>
    <w:rsid w:val="002A340E"/>
    <w:rsid w:val="002A5EA8"/>
    <w:rsid w:val="002A5EE6"/>
    <w:rsid w:val="002A75FC"/>
    <w:rsid w:val="002B1D62"/>
    <w:rsid w:val="002B3938"/>
    <w:rsid w:val="002B5394"/>
    <w:rsid w:val="002B5B69"/>
    <w:rsid w:val="002C2820"/>
    <w:rsid w:val="002C296F"/>
    <w:rsid w:val="002C3B13"/>
    <w:rsid w:val="002C77F5"/>
    <w:rsid w:val="002D27AE"/>
    <w:rsid w:val="002D71F8"/>
    <w:rsid w:val="002E021F"/>
    <w:rsid w:val="002E2A9E"/>
    <w:rsid w:val="002E31BD"/>
    <w:rsid w:val="002E4758"/>
    <w:rsid w:val="002E732E"/>
    <w:rsid w:val="002F0756"/>
    <w:rsid w:val="002F3E45"/>
    <w:rsid w:val="002F4D95"/>
    <w:rsid w:val="002F7A1A"/>
    <w:rsid w:val="00301A69"/>
    <w:rsid w:val="0031025B"/>
    <w:rsid w:val="0031060C"/>
    <w:rsid w:val="00310D22"/>
    <w:rsid w:val="00313EA8"/>
    <w:rsid w:val="00317A9B"/>
    <w:rsid w:val="00317AF1"/>
    <w:rsid w:val="00322AFD"/>
    <w:rsid w:val="00325637"/>
    <w:rsid w:val="00325DD0"/>
    <w:rsid w:val="00326E13"/>
    <w:rsid w:val="003300F4"/>
    <w:rsid w:val="0033175B"/>
    <w:rsid w:val="00333DDF"/>
    <w:rsid w:val="0033454F"/>
    <w:rsid w:val="00334C14"/>
    <w:rsid w:val="00337FB9"/>
    <w:rsid w:val="003401A5"/>
    <w:rsid w:val="00342F66"/>
    <w:rsid w:val="00343C9E"/>
    <w:rsid w:val="00345BBE"/>
    <w:rsid w:val="00347861"/>
    <w:rsid w:val="00353560"/>
    <w:rsid w:val="003556EF"/>
    <w:rsid w:val="003601A4"/>
    <w:rsid w:val="00361C88"/>
    <w:rsid w:val="00364044"/>
    <w:rsid w:val="00366083"/>
    <w:rsid w:val="00373749"/>
    <w:rsid w:val="0037432E"/>
    <w:rsid w:val="00374D09"/>
    <w:rsid w:val="00382D6B"/>
    <w:rsid w:val="0038501E"/>
    <w:rsid w:val="00385DAE"/>
    <w:rsid w:val="003922D1"/>
    <w:rsid w:val="003938FC"/>
    <w:rsid w:val="003956B0"/>
    <w:rsid w:val="003964C9"/>
    <w:rsid w:val="00397668"/>
    <w:rsid w:val="003A15CD"/>
    <w:rsid w:val="003A1FC0"/>
    <w:rsid w:val="003A3E4D"/>
    <w:rsid w:val="003A7C6B"/>
    <w:rsid w:val="003B0FDE"/>
    <w:rsid w:val="003B456C"/>
    <w:rsid w:val="003B4FA6"/>
    <w:rsid w:val="003B6254"/>
    <w:rsid w:val="003C3153"/>
    <w:rsid w:val="003C37D4"/>
    <w:rsid w:val="003C5770"/>
    <w:rsid w:val="003C7401"/>
    <w:rsid w:val="003D0DB1"/>
    <w:rsid w:val="003D15A3"/>
    <w:rsid w:val="003E0B8B"/>
    <w:rsid w:val="003E28EE"/>
    <w:rsid w:val="003E5E27"/>
    <w:rsid w:val="003E6952"/>
    <w:rsid w:val="003E7E8F"/>
    <w:rsid w:val="003F0EA6"/>
    <w:rsid w:val="003F1130"/>
    <w:rsid w:val="003F361F"/>
    <w:rsid w:val="003F500B"/>
    <w:rsid w:val="003F642D"/>
    <w:rsid w:val="003F64CB"/>
    <w:rsid w:val="003F6591"/>
    <w:rsid w:val="00400D17"/>
    <w:rsid w:val="0040139E"/>
    <w:rsid w:val="00402780"/>
    <w:rsid w:val="00402EB6"/>
    <w:rsid w:val="00405868"/>
    <w:rsid w:val="004117A7"/>
    <w:rsid w:val="00414B7C"/>
    <w:rsid w:val="00416C22"/>
    <w:rsid w:val="00420907"/>
    <w:rsid w:val="004212F5"/>
    <w:rsid w:val="00422735"/>
    <w:rsid w:val="00422B2C"/>
    <w:rsid w:val="00422E49"/>
    <w:rsid w:val="00425BF4"/>
    <w:rsid w:val="00435C00"/>
    <w:rsid w:val="004409EE"/>
    <w:rsid w:val="0044138D"/>
    <w:rsid w:val="00442C07"/>
    <w:rsid w:val="00443C34"/>
    <w:rsid w:val="00446577"/>
    <w:rsid w:val="004510E3"/>
    <w:rsid w:val="00451909"/>
    <w:rsid w:val="00452381"/>
    <w:rsid w:val="004540E2"/>
    <w:rsid w:val="00456429"/>
    <w:rsid w:val="004579D5"/>
    <w:rsid w:val="00462B77"/>
    <w:rsid w:val="004663EF"/>
    <w:rsid w:val="0047175C"/>
    <w:rsid w:val="00474ECF"/>
    <w:rsid w:val="0047643A"/>
    <w:rsid w:val="00480586"/>
    <w:rsid w:val="00480CE5"/>
    <w:rsid w:val="00481835"/>
    <w:rsid w:val="0048296A"/>
    <w:rsid w:val="004840B2"/>
    <w:rsid w:val="00486C40"/>
    <w:rsid w:val="004876B1"/>
    <w:rsid w:val="00491901"/>
    <w:rsid w:val="00494949"/>
    <w:rsid w:val="004A0FE8"/>
    <w:rsid w:val="004A191A"/>
    <w:rsid w:val="004A1FF7"/>
    <w:rsid w:val="004A3723"/>
    <w:rsid w:val="004A4685"/>
    <w:rsid w:val="004C14D9"/>
    <w:rsid w:val="004C1859"/>
    <w:rsid w:val="004C32E1"/>
    <w:rsid w:val="004C3A56"/>
    <w:rsid w:val="004C418B"/>
    <w:rsid w:val="004C453E"/>
    <w:rsid w:val="004C4CDA"/>
    <w:rsid w:val="004D1B42"/>
    <w:rsid w:val="004D3D8D"/>
    <w:rsid w:val="004D7822"/>
    <w:rsid w:val="004E2EE6"/>
    <w:rsid w:val="004F2683"/>
    <w:rsid w:val="004F3AAB"/>
    <w:rsid w:val="004F5673"/>
    <w:rsid w:val="004F6CF2"/>
    <w:rsid w:val="004F6F9C"/>
    <w:rsid w:val="004F71C8"/>
    <w:rsid w:val="004F7CC6"/>
    <w:rsid w:val="00502880"/>
    <w:rsid w:val="00505497"/>
    <w:rsid w:val="0050549D"/>
    <w:rsid w:val="0050728E"/>
    <w:rsid w:val="005073A1"/>
    <w:rsid w:val="005075BE"/>
    <w:rsid w:val="0051506A"/>
    <w:rsid w:val="00517524"/>
    <w:rsid w:val="00517DE8"/>
    <w:rsid w:val="00520B59"/>
    <w:rsid w:val="00521E40"/>
    <w:rsid w:val="00523355"/>
    <w:rsid w:val="00533547"/>
    <w:rsid w:val="00537FA9"/>
    <w:rsid w:val="00543610"/>
    <w:rsid w:val="00544589"/>
    <w:rsid w:val="005514F4"/>
    <w:rsid w:val="00554888"/>
    <w:rsid w:val="0055526C"/>
    <w:rsid w:val="00555AA6"/>
    <w:rsid w:val="00557E15"/>
    <w:rsid w:val="0056145F"/>
    <w:rsid w:val="00563C80"/>
    <w:rsid w:val="00566397"/>
    <w:rsid w:val="00567427"/>
    <w:rsid w:val="00572DDC"/>
    <w:rsid w:val="00572F06"/>
    <w:rsid w:val="005731A5"/>
    <w:rsid w:val="0057442F"/>
    <w:rsid w:val="005802E1"/>
    <w:rsid w:val="00581796"/>
    <w:rsid w:val="00583C04"/>
    <w:rsid w:val="00591D9A"/>
    <w:rsid w:val="00593DC7"/>
    <w:rsid w:val="005949A3"/>
    <w:rsid w:val="00595F12"/>
    <w:rsid w:val="005A0C49"/>
    <w:rsid w:val="005A2A3C"/>
    <w:rsid w:val="005A2AC9"/>
    <w:rsid w:val="005B1BFD"/>
    <w:rsid w:val="005B21CC"/>
    <w:rsid w:val="005B2D8D"/>
    <w:rsid w:val="005B4EA1"/>
    <w:rsid w:val="005B5322"/>
    <w:rsid w:val="005C00C4"/>
    <w:rsid w:val="005C083C"/>
    <w:rsid w:val="005C2033"/>
    <w:rsid w:val="005C3164"/>
    <w:rsid w:val="005C3F42"/>
    <w:rsid w:val="005C6561"/>
    <w:rsid w:val="005C7442"/>
    <w:rsid w:val="005D097B"/>
    <w:rsid w:val="005D2899"/>
    <w:rsid w:val="005D2E3A"/>
    <w:rsid w:val="005D5D48"/>
    <w:rsid w:val="005D6CDB"/>
    <w:rsid w:val="005E1945"/>
    <w:rsid w:val="005E4286"/>
    <w:rsid w:val="005E4D3C"/>
    <w:rsid w:val="005E5926"/>
    <w:rsid w:val="005E5C31"/>
    <w:rsid w:val="005F1CF5"/>
    <w:rsid w:val="00601AF4"/>
    <w:rsid w:val="00601BD9"/>
    <w:rsid w:val="00601C1D"/>
    <w:rsid w:val="00601C7B"/>
    <w:rsid w:val="00603D34"/>
    <w:rsid w:val="00604289"/>
    <w:rsid w:val="00604D67"/>
    <w:rsid w:val="00605855"/>
    <w:rsid w:val="00605E2A"/>
    <w:rsid w:val="006064AE"/>
    <w:rsid w:val="00612ED4"/>
    <w:rsid w:val="00615A95"/>
    <w:rsid w:val="006163B3"/>
    <w:rsid w:val="006172DB"/>
    <w:rsid w:val="006174F0"/>
    <w:rsid w:val="006176C3"/>
    <w:rsid w:val="006226C5"/>
    <w:rsid w:val="0062288F"/>
    <w:rsid w:val="006238F1"/>
    <w:rsid w:val="00624344"/>
    <w:rsid w:val="006243CD"/>
    <w:rsid w:val="00631C12"/>
    <w:rsid w:val="00632C71"/>
    <w:rsid w:val="0063319C"/>
    <w:rsid w:val="0063460F"/>
    <w:rsid w:val="00634B58"/>
    <w:rsid w:val="00637A41"/>
    <w:rsid w:val="006411F2"/>
    <w:rsid w:val="006424A3"/>
    <w:rsid w:val="006468BC"/>
    <w:rsid w:val="00646F6C"/>
    <w:rsid w:val="006470A2"/>
    <w:rsid w:val="006504C4"/>
    <w:rsid w:val="0065629B"/>
    <w:rsid w:val="00657865"/>
    <w:rsid w:val="00660306"/>
    <w:rsid w:val="00661062"/>
    <w:rsid w:val="006656F9"/>
    <w:rsid w:val="00666F75"/>
    <w:rsid w:val="00672328"/>
    <w:rsid w:val="00672765"/>
    <w:rsid w:val="006758AD"/>
    <w:rsid w:val="00675A64"/>
    <w:rsid w:val="0067697B"/>
    <w:rsid w:val="00680AB6"/>
    <w:rsid w:val="006817FD"/>
    <w:rsid w:val="006832BE"/>
    <w:rsid w:val="00683CA3"/>
    <w:rsid w:val="00684154"/>
    <w:rsid w:val="00685C51"/>
    <w:rsid w:val="00687C96"/>
    <w:rsid w:val="00687E26"/>
    <w:rsid w:val="00690B33"/>
    <w:rsid w:val="0069510D"/>
    <w:rsid w:val="00695312"/>
    <w:rsid w:val="00695D55"/>
    <w:rsid w:val="0069652A"/>
    <w:rsid w:val="006A7B62"/>
    <w:rsid w:val="006B2565"/>
    <w:rsid w:val="006B3298"/>
    <w:rsid w:val="006B57BC"/>
    <w:rsid w:val="006B7728"/>
    <w:rsid w:val="006B7DD4"/>
    <w:rsid w:val="006C0894"/>
    <w:rsid w:val="006C0ED9"/>
    <w:rsid w:val="006C62F3"/>
    <w:rsid w:val="006D1EBD"/>
    <w:rsid w:val="006D4252"/>
    <w:rsid w:val="006D510D"/>
    <w:rsid w:val="006E465C"/>
    <w:rsid w:val="006E556B"/>
    <w:rsid w:val="006E7040"/>
    <w:rsid w:val="006E73F8"/>
    <w:rsid w:val="006F172A"/>
    <w:rsid w:val="006F197A"/>
    <w:rsid w:val="006F208E"/>
    <w:rsid w:val="006F3A75"/>
    <w:rsid w:val="006F4340"/>
    <w:rsid w:val="006F4902"/>
    <w:rsid w:val="006F5241"/>
    <w:rsid w:val="006F5C7C"/>
    <w:rsid w:val="00704278"/>
    <w:rsid w:val="00705581"/>
    <w:rsid w:val="0070706A"/>
    <w:rsid w:val="00712289"/>
    <w:rsid w:val="00712846"/>
    <w:rsid w:val="00712FD5"/>
    <w:rsid w:val="00713950"/>
    <w:rsid w:val="00714587"/>
    <w:rsid w:val="007162B6"/>
    <w:rsid w:val="007248BF"/>
    <w:rsid w:val="00725486"/>
    <w:rsid w:val="0072647B"/>
    <w:rsid w:val="00727C6C"/>
    <w:rsid w:val="00730B54"/>
    <w:rsid w:val="007412C8"/>
    <w:rsid w:val="00741974"/>
    <w:rsid w:val="00741A46"/>
    <w:rsid w:val="007434EC"/>
    <w:rsid w:val="00743853"/>
    <w:rsid w:val="007439AA"/>
    <w:rsid w:val="00751F02"/>
    <w:rsid w:val="007564B7"/>
    <w:rsid w:val="00762C5D"/>
    <w:rsid w:val="007650E5"/>
    <w:rsid w:val="00765250"/>
    <w:rsid w:val="00771245"/>
    <w:rsid w:val="007715AD"/>
    <w:rsid w:val="007734D1"/>
    <w:rsid w:val="00773840"/>
    <w:rsid w:val="00776DFA"/>
    <w:rsid w:val="007778F3"/>
    <w:rsid w:val="00785E30"/>
    <w:rsid w:val="007923D6"/>
    <w:rsid w:val="007936AE"/>
    <w:rsid w:val="00793B8C"/>
    <w:rsid w:val="00793FD6"/>
    <w:rsid w:val="00796ECA"/>
    <w:rsid w:val="00797345"/>
    <w:rsid w:val="007A46B8"/>
    <w:rsid w:val="007B038E"/>
    <w:rsid w:val="007B03E4"/>
    <w:rsid w:val="007B2547"/>
    <w:rsid w:val="007C10A5"/>
    <w:rsid w:val="007C1331"/>
    <w:rsid w:val="007C39A6"/>
    <w:rsid w:val="007C5235"/>
    <w:rsid w:val="007C72CE"/>
    <w:rsid w:val="007D5973"/>
    <w:rsid w:val="007D6B23"/>
    <w:rsid w:val="007E0C6D"/>
    <w:rsid w:val="007E1C84"/>
    <w:rsid w:val="007E48F1"/>
    <w:rsid w:val="007E7150"/>
    <w:rsid w:val="007E7428"/>
    <w:rsid w:val="007E76B8"/>
    <w:rsid w:val="007F0463"/>
    <w:rsid w:val="007F332B"/>
    <w:rsid w:val="008000F1"/>
    <w:rsid w:val="008032CC"/>
    <w:rsid w:val="00804186"/>
    <w:rsid w:val="00810533"/>
    <w:rsid w:val="00811354"/>
    <w:rsid w:val="00813677"/>
    <w:rsid w:val="00813F41"/>
    <w:rsid w:val="00813F52"/>
    <w:rsid w:val="00822A66"/>
    <w:rsid w:val="008231B1"/>
    <w:rsid w:val="008235D5"/>
    <w:rsid w:val="00823924"/>
    <w:rsid w:val="00825D2E"/>
    <w:rsid w:val="008313D3"/>
    <w:rsid w:val="008357FD"/>
    <w:rsid w:val="00835CE6"/>
    <w:rsid w:val="00836CB6"/>
    <w:rsid w:val="008407E2"/>
    <w:rsid w:val="008411BF"/>
    <w:rsid w:val="00841F26"/>
    <w:rsid w:val="00843F36"/>
    <w:rsid w:val="00845D69"/>
    <w:rsid w:val="008473A9"/>
    <w:rsid w:val="00855C97"/>
    <w:rsid w:val="00865841"/>
    <w:rsid w:val="00870AEA"/>
    <w:rsid w:val="00875003"/>
    <w:rsid w:val="00881C40"/>
    <w:rsid w:val="00881D4E"/>
    <w:rsid w:val="00882566"/>
    <w:rsid w:val="00882D5E"/>
    <w:rsid w:val="00883E50"/>
    <w:rsid w:val="00883F65"/>
    <w:rsid w:val="00887801"/>
    <w:rsid w:val="008907C7"/>
    <w:rsid w:val="008924B2"/>
    <w:rsid w:val="00893004"/>
    <w:rsid w:val="00893CD3"/>
    <w:rsid w:val="00893FC9"/>
    <w:rsid w:val="00895FD6"/>
    <w:rsid w:val="008A0F17"/>
    <w:rsid w:val="008A1D90"/>
    <w:rsid w:val="008A38F1"/>
    <w:rsid w:val="008A49AD"/>
    <w:rsid w:val="008A5260"/>
    <w:rsid w:val="008A5392"/>
    <w:rsid w:val="008A5C0C"/>
    <w:rsid w:val="008B0675"/>
    <w:rsid w:val="008B0DAF"/>
    <w:rsid w:val="008B180C"/>
    <w:rsid w:val="008B2010"/>
    <w:rsid w:val="008B506A"/>
    <w:rsid w:val="008B7F7E"/>
    <w:rsid w:val="008C0045"/>
    <w:rsid w:val="008C10B5"/>
    <w:rsid w:val="008C1161"/>
    <w:rsid w:val="008C2CEA"/>
    <w:rsid w:val="008C5ABE"/>
    <w:rsid w:val="008C6019"/>
    <w:rsid w:val="008C74AF"/>
    <w:rsid w:val="008C75B3"/>
    <w:rsid w:val="008C798B"/>
    <w:rsid w:val="008D0C50"/>
    <w:rsid w:val="008D207F"/>
    <w:rsid w:val="008D2F11"/>
    <w:rsid w:val="008D5C6C"/>
    <w:rsid w:val="008D6E4F"/>
    <w:rsid w:val="008E0E6A"/>
    <w:rsid w:val="008E14DC"/>
    <w:rsid w:val="008E2757"/>
    <w:rsid w:val="008E3464"/>
    <w:rsid w:val="008E3CB7"/>
    <w:rsid w:val="008E46C9"/>
    <w:rsid w:val="008F0C94"/>
    <w:rsid w:val="008F13C8"/>
    <w:rsid w:val="008F237B"/>
    <w:rsid w:val="008F2A5C"/>
    <w:rsid w:val="008F3172"/>
    <w:rsid w:val="008F797C"/>
    <w:rsid w:val="00901138"/>
    <w:rsid w:val="00903034"/>
    <w:rsid w:val="00912700"/>
    <w:rsid w:val="00913414"/>
    <w:rsid w:val="009143B7"/>
    <w:rsid w:val="00915032"/>
    <w:rsid w:val="00916F7C"/>
    <w:rsid w:val="00922E5B"/>
    <w:rsid w:val="00931B6A"/>
    <w:rsid w:val="00934027"/>
    <w:rsid w:val="0093449A"/>
    <w:rsid w:val="0093612B"/>
    <w:rsid w:val="009377E4"/>
    <w:rsid w:val="009415F7"/>
    <w:rsid w:val="009438D1"/>
    <w:rsid w:val="0094795C"/>
    <w:rsid w:val="009501A4"/>
    <w:rsid w:val="009541A0"/>
    <w:rsid w:val="009561F3"/>
    <w:rsid w:val="009652B0"/>
    <w:rsid w:val="00965710"/>
    <w:rsid w:val="00966CF8"/>
    <w:rsid w:val="00970769"/>
    <w:rsid w:val="00973014"/>
    <w:rsid w:val="00975584"/>
    <w:rsid w:val="00976328"/>
    <w:rsid w:val="0097752F"/>
    <w:rsid w:val="00981705"/>
    <w:rsid w:val="00982091"/>
    <w:rsid w:val="00984670"/>
    <w:rsid w:val="00984FEB"/>
    <w:rsid w:val="00990437"/>
    <w:rsid w:val="00992A1A"/>
    <w:rsid w:val="00994AE7"/>
    <w:rsid w:val="00994EFC"/>
    <w:rsid w:val="0099695C"/>
    <w:rsid w:val="00996DCA"/>
    <w:rsid w:val="009974B3"/>
    <w:rsid w:val="009A1A81"/>
    <w:rsid w:val="009A2E86"/>
    <w:rsid w:val="009A47A8"/>
    <w:rsid w:val="009A495F"/>
    <w:rsid w:val="009A52B0"/>
    <w:rsid w:val="009A6D5B"/>
    <w:rsid w:val="009B156A"/>
    <w:rsid w:val="009B22E1"/>
    <w:rsid w:val="009B2D19"/>
    <w:rsid w:val="009B5337"/>
    <w:rsid w:val="009B7C63"/>
    <w:rsid w:val="009C12F2"/>
    <w:rsid w:val="009C14C2"/>
    <w:rsid w:val="009C1988"/>
    <w:rsid w:val="009C1E23"/>
    <w:rsid w:val="009C53A3"/>
    <w:rsid w:val="009C56B4"/>
    <w:rsid w:val="009C5DB3"/>
    <w:rsid w:val="009C650D"/>
    <w:rsid w:val="009C6703"/>
    <w:rsid w:val="009C776C"/>
    <w:rsid w:val="009D485F"/>
    <w:rsid w:val="009D49FD"/>
    <w:rsid w:val="009E162B"/>
    <w:rsid w:val="009E2602"/>
    <w:rsid w:val="009E544E"/>
    <w:rsid w:val="009E5976"/>
    <w:rsid w:val="009E5B74"/>
    <w:rsid w:val="009E7938"/>
    <w:rsid w:val="009F060A"/>
    <w:rsid w:val="009F07DB"/>
    <w:rsid w:val="009F1C7B"/>
    <w:rsid w:val="009F529E"/>
    <w:rsid w:val="009F6F7E"/>
    <w:rsid w:val="00A02E5D"/>
    <w:rsid w:val="00A02FE9"/>
    <w:rsid w:val="00A03B94"/>
    <w:rsid w:val="00A04EBE"/>
    <w:rsid w:val="00A05359"/>
    <w:rsid w:val="00A07519"/>
    <w:rsid w:val="00A075BA"/>
    <w:rsid w:val="00A102F8"/>
    <w:rsid w:val="00A1221F"/>
    <w:rsid w:val="00A17A8E"/>
    <w:rsid w:val="00A212F4"/>
    <w:rsid w:val="00A224AC"/>
    <w:rsid w:val="00A256BF"/>
    <w:rsid w:val="00A264F4"/>
    <w:rsid w:val="00A26664"/>
    <w:rsid w:val="00A326DB"/>
    <w:rsid w:val="00A350F6"/>
    <w:rsid w:val="00A36B93"/>
    <w:rsid w:val="00A36CBB"/>
    <w:rsid w:val="00A4081D"/>
    <w:rsid w:val="00A46045"/>
    <w:rsid w:val="00A46401"/>
    <w:rsid w:val="00A53C4E"/>
    <w:rsid w:val="00A56F3C"/>
    <w:rsid w:val="00A57F2A"/>
    <w:rsid w:val="00A6116D"/>
    <w:rsid w:val="00A63000"/>
    <w:rsid w:val="00A64EC6"/>
    <w:rsid w:val="00A65C1F"/>
    <w:rsid w:val="00A67C80"/>
    <w:rsid w:val="00A67CFC"/>
    <w:rsid w:val="00A70752"/>
    <w:rsid w:val="00A70D18"/>
    <w:rsid w:val="00A73750"/>
    <w:rsid w:val="00A773A5"/>
    <w:rsid w:val="00A808A3"/>
    <w:rsid w:val="00A848FF"/>
    <w:rsid w:val="00A85286"/>
    <w:rsid w:val="00A8599E"/>
    <w:rsid w:val="00A85FAB"/>
    <w:rsid w:val="00A873C7"/>
    <w:rsid w:val="00A922E9"/>
    <w:rsid w:val="00A9300F"/>
    <w:rsid w:val="00A94D03"/>
    <w:rsid w:val="00A95C4A"/>
    <w:rsid w:val="00A975DA"/>
    <w:rsid w:val="00AA0713"/>
    <w:rsid w:val="00AA538C"/>
    <w:rsid w:val="00AB0174"/>
    <w:rsid w:val="00AB0C4C"/>
    <w:rsid w:val="00AB7A2D"/>
    <w:rsid w:val="00AC17F9"/>
    <w:rsid w:val="00AD0F66"/>
    <w:rsid w:val="00AD1F4B"/>
    <w:rsid w:val="00AD2206"/>
    <w:rsid w:val="00AD6145"/>
    <w:rsid w:val="00AD6D58"/>
    <w:rsid w:val="00AE0208"/>
    <w:rsid w:val="00AE1379"/>
    <w:rsid w:val="00AE3C92"/>
    <w:rsid w:val="00AE6F02"/>
    <w:rsid w:val="00AF1BC8"/>
    <w:rsid w:val="00AF68AD"/>
    <w:rsid w:val="00B000EA"/>
    <w:rsid w:val="00B01012"/>
    <w:rsid w:val="00B03D91"/>
    <w:rsid w:val="00B04D12"/>
    <w:rsid w:val="00B07478"/>
    <w:rsid w:val="00B10BA8"/>
    <w:rsid w:val="00B11BA6"/>
    <w:rsid w:val="00B11D38"/>
    <w:rsid w:val="00B16442"/>
    <w:rsid w:val="00B21CBB"/>
    <w:rsid w:val="00B228E1"/>
    <w:rsid w:val="00B24976"/>
    <w:rsid w:val="00B25A26"/>
    <w:rsid w:val="00B26754"/>
    <w:rsid w:val="00B30012"/>
    <w:rsid w:val="00B324CD"/>
    <w:rsid w:val="00B36670"/>
    <w:rsid w:val="00B368B5"/>
    <w:rsid w:val="00B410A3"/>
    <w:rsid w:val="00B4119D"/>
    <w:rsid w:val="00B45DE6"/>
    <w:rsid w:val="00B47836"/>
    <w:rsid w:val="00B52A47"/>
    <w:rsid w:val="00B5392E"/>
    <w:rsid w:val="00B572F9"/>
    <w:rsid w:val="00B614F3"/>
    <w:rsid w:val="00B623ED"/>
    <w:rsid w:val="00B65E08"/>
    <w:rsid w:val="00B66C49"/>
    <w:rsid w:val="00B679C1"/>
    <w:rsid w:val="00B70F71"/>
    <w:rsid w:val="00B72351"/>
    <w:rsid w:val="00B7432C"/>
    <w:rsid w:val="00B75175"/>
    <w:rsid w:val="00B75EAD"/>
    <w:rsid w:val="00B834C4"/>
    <w:rsid w:val="00B8532F"/>
    <w:rsid w:val="00B85D63"/>
    <w:rsid w:val="00B86DD1"/>
    <w:rsid w:val="00B929FE"/>
    <w:rsid w:val="00B96474"/>
    <w:rsid w:val="00BA0929"/>
    <w:rsid w:val="00BA16A4"/>
    <w:rsid w:val="00BA3379"/>
    <w:rsid w:val="00BA7825"/>
    <w:rsid w:val="00BA7FEF"/>
    <w:rsid w:val="00BB12C7"/>
    <w:rsid w:val="00BB28AB"/>
    <w:rsid w:val="00BB356B"/>
    <w:rsid w:val="00BB3A18"/>
    <w:rsid w:val="00BB61A1"/>
    <w:rsid w:val="00BC3953"/>
    <w:rsid w:val="00BC4B0E"/>
    <w:rsid w:val="00BC4C75"/>
    <w:rsid w:val="00BC5B37"/>
    <w:rsid w:val="00BC750A"/>
    <w:rsid w:val="00BD0F46"/>
    <w:rsid w:val="00BD5AEC"/>
    <w:rsid w:val="00BE0244"/>
    <w:rsid w:val="00BE3232"/>
    <w:rsid w:val="00BE3E8C"/>
    <w:rsid w:val="00BE6847"/>
    <w:rsid w:val="00BE6BBD"/>
    <w:rsid w:val="00BF115C"/>
    <w:rsid w:val="00BF36A3"/>
    <w:rsid w:val="00BF4ECD"/>
    <w:rsid w:val="00BF5590"/>
    <w:rsid w:val="00BF5D12"/>
    <w:rsid w:val="00C00B14"/>
    <w:rsid w:val="00C00D9F"/>
    <w:rsid w:val="00C01C08"/>
    <w:rsid w:val="00C02A86"/>
    <w:rsid w:val="00C02D8D"/>
    <w:rsid w:val="00C04B66"/>
    <w:rsid w:val="00C05405"/>
    <w:rsid w:val="00C10EBB"/>
    <w:rsid w:val="00C11C36"/>
    <w:rsid w:val="00C12FC6"/>
    <w:rsid w:val="00C136DA"/>
    <w:rsid w:val="00C145D9"/>
    <w:rsid w:val="00C14EEA"/>
    <w:rsid w:val="00C14EF9"/>
    <w:rsid w:val="00C15EFE"/>
    <w:rsid w:val="00C17995"/>
    <w:rsid w:val="00C17C6E"/>
    <w:rsid w:val="00C20324"/>
    <w:rsid w:val="00C20A81"/>
    <w:rsid w:val="00C22671"/>
    <w:rsid w:val="00C2361C"/>
    <w:rsid w:val="00C2530E"/>
    <w:rsid w:val="00C264D2"/>
    <w:rsid w:val="00C267E0"/>
    <w:rsid w:val="00C26E77"/>
    <w:rsid w:val="00C3015A"/>
    <w:rsid w:val="00C30A6F"/>
    <w:rsid w:val="00C33E9A"/>
    <w:rsid w:val="00C34491"/>
    <w:rsid w:val="00C344BF"/>
    <w:rsid w:val="00C3564F"/>
    <w:rsid w:val="00C40222"/>
    <w:rsid w:val="00C436C5"/>
    <w:rsid w:val="00C441F5"/>
    <w:rsid w:val="00C44A11"/>
    <w:rsid w:val="00C45EDC"/>
    <w:rsid w:val="00C46E2E"/>
    <w:rsid w:val="00C51DCD"/>
    <w:rsid w:val="00C52821"/>
    <w:rsid w:val="00C5509A"/>
    <w:rsid w:val="00C55936"/>
    <w:rsid w:val="00C55A6A"/>
    <w:rsid w:val="00C55C54"/>
    <w:rsid w:val="00C5611A"/>
    <w:rsid w:val="00C61300"/>
    <w:rsid w:val="00C71CAE"/>
    <w:rsid w:val="00C7587B"/>
    <w:rsid w:val="00C75D03"/>
    <w:rsid w:val="00C779B3"/>
    <w:rsid w:val="00C77DEF"/>
    <w:rsid w:val="00C80EA6"/>
    <w:rsid w:val="00C81537"/>
    <w:rsid w:val="00C81721"/>
    <w:rsid w:val="00C81EDD"/>
    <w:rsid w:val="00C83254"/>
    <w:rsid w:val="00C8644F"/>
    <w:rsid w:val="00C949D4"/>
    <w:rsid w:val="00C95F02"/>
    <w:rsid w:val="00C961EF"/>
    <w:rsid w:val="00C9775D"/>
    <w:rsid w:val="00CA0119"/>
    <w:rsid w:val="00CA1984"/>
    <w:rsid w:val="00CA38DB"/>
    <w:rsid w:val="00CA7E0C"/>
    <w:rsid w:val="00CB12E9"/>
    <w:rsid w:val="00CB1973"/>
    <w:rsid w:val="00CB32D8"/>
    <w:rsid w:val="00CB57FC"/>
    <w:rsid w:val="00CB588F"/>
    <w:rsid w:val="00CB7519"/>
    <w:rsid w:val="00CB7A05"/>
    <w:rsid w:val="00CC38D4"/>
    <w:rsid w:val="00CC5426"/>
    <w:rsid w:val="00CC7B18"/>
    <w:rsid w:val="00CD2F32"/>
    <w:rsid w:val="00CD456F"/>
    <w:rsid w:val="00CD5681"/>
    <w:rsid w:val="00CD56EB"/>
    <w:rsid w:val="00CD5D1C"/>
    <w:rsid w:val="00CD6C33"/>
    <w:rsid w:val="00CD7DA6"/>
    <w:rsid w:val="00CE1077"/>
    <w:rsid w:val="00CE172D"/>
    <w:rsid w:val="00CE2079"/>
    <w:rsid w:val="00CE2ECD"/>
    <w:rsid w:val="00CE50E0"/>
    <w:rsid w:val="00CF1410"/>
    <w:rsid w:val="00CF1740"/>
    <w:rsid w:val="00CF6856"/>
    <w:rsid w:val="00CF7836"/>
    <w:rsid w:val="00D008D6"/>
    <w:rsid w:val="00D01BD6"/>
    <w:rsid w:val="00D04DF2"/>
    <w:rsid w:val="00D065EE"/>
    <w:rsid w:val="00D06B3E"/>
    <w:rsid w:val="00D06BD3"/>
    <w:rsid w:val="00D108C1"/>
    <w:rsid w:val="00D1533B"/>
    <w:rsid w:val="00D16068"/>
    <w:rsid w:val="00D1619D"/>
    <w:rsid w:val="00D20888"/>
    <w:rsid w:val="00D2178D"/>
    <w:rsid w:val="00D223C7"/>
    <w:rsid w:val="00D22DE3"/>
    <w:rsid w:val="00D23144"/>
    <w:rsid w:val="00D24227"/>
    <w:rsid w:val="00D27EDA"/>
    <w:rsid w:val="00D3071F"/>
    <w:rsid w:val="00D33BBA"/>
    <w:rsid w:val="00D419A5"/>
    <w:rsid w:val="00D42FDD"/>
    <w:rsid w:val="00D52F9C"/>
    <w:rsid w:val="00D53654"/>
    <w:rsid w:val="00D54456"/>
    <w:rsid w:val="00D562A8"/>
    <w:rsid w:val="00D57462"/>
    <w:rsid w:val="00D60C74"/>
    <w:rsid w:val="00D61E7D"/>
    <w:rsid w:val="00D649EE"/>
    <w:rsid w:val="00D654CA"/>
    <w:rsid w:val="00D65740"/>
    <w:rsid w:val="00D66A13"/>
    <w:rsid w:val="00D75233"/>
    <w:rsid w:val="00D75CA1"/>
    <w:rsid w:val="00D774F6"/>
    <w:rsid w:val="00D82CD2"/>
    <w:rsid w:val="00D842F7"/>
    <w:rsid w:val="00D843D6"/>
    <w:rsid w:val="00D85B0C"/>
    <w:rsid w:val="00D92293"/>
    <w:rsid w:val="00D932AE"/>
    <w:rsid w:val="00D96CA2"/>
    <w:rsid w:val="00DA09F3"/>
    <w:rsid w:val="00DA10FE"/>
    <w:rsid w:val="00DA26E0"/>
    <w:rsid w:val="00DA435E"/>
    <w:rsid w:val="00DA5166"/>
    <w:rsid w:val="00DA5B7F"/>
    <w:rsid w:val="00DB0418"/>
    <w:rsid w:val="00DB0F1B"/>
    <w:rsid w:val="00DB1103"/>
    <w:rsid w:val="00DB168B"/>
    <w:rsid w:val="00DB1ED2"/>
    <w:rsid w:val="00DC02A4"/>
    <w:rsid w:val="00DC12E5"/>
    <w:rsid w:val="00DC5C94"/>
    <w:rsid w:val="00DC5E25"/>
    <w:rsid w:val="00DC69B7"/>
    <w:rsid w:val="00DD11EA"/>
    <w:rsid w:val="00DD574C"/>
    <w:rsid w:val="00DD5D52"/>
    <w:rsid w:val="00DE5763"/>
    <w:rsid w:val="00DE7907"/>
    <w:rsid w:val="00DF01E9"/>
    <w:rsid w:val="00DF2BF8"/>
    <w:rsid w:val="00DF304E"/>
    <w:rsid w:val="00DF323F"/>
    <w:rsid w:val="00E017E7"/>
    <w:rsid w:val="00E028D1"/>
    <w:rsid w:val="00E03A88"/>
    <w:rsid w:val="00E0602D"/>
    <w:rsid w:val="00E07BC9"/>
    <w:rsid w:val="00E13AAF"/>
    <w:rsid w:val="00E205C9"/>
    <w:rsid w:val="00E24200"/>
    <w:rsid w:val="00E2532A"/>
    <w:rsid w:val="00E26A24"/>
    <w:rsid w:val="00E27FFD"/>
    <w:rsid w:val="00E30491"/>
    <w:rsid w:val="00E3162C"/>
    <w:rsid w:val="00E318AB"/>
    <w:rsid w:val="00E325A7"/>
    <w:rsid w:val="00E3345D"/>
    <w:rsid w:val="00E34071"/>
    <w:rsid w:val="00E37742"/>
    <w:rsid w:val="00E4021C"/>
    <w:rsid w:val="00E40B17"/>
    <w:rsid w:val="00E41B57"/>
    <w:rsid w:val="00E422CB"/>
    <w:rsid w:val="00E42E92"/>
    <w:rsid w:val="00E52257"/>
    <w:rsid w:val="00E57ADD"/>
    <w:rsid w:val="00E60141"/>
    <w:rsid w:val="00E634DA"/>
    <w:rsid w:val="00E67DAE"/>
    <w:rsid w:val="00E725F1"/>
    <w:rsid w:val="00E7459F"/>
    <w:rsid w:val="00E768B7"/>
    <w:rsid w:val="00E813B3"/>
    <w:rsid w:val="00E83989"/>
    <w:rsid w:val="00E85247"/>
    <w:rsid w:val="00E87990"/>
    <w:rsid w:val="00E879C5"/>
    <w:rsid w:val="00E92C85"/>
    <w:rsid w:val="00E93B18"/>
    <w:rsid w:val="00E957DB"/>
    <w:rsid w:val="00E97609"/>
    <w:rsid w:val="00EA3D08"/>
    <w:rsid w:val="00EB3E17"/>
    <w:rsid w:val="00EB422E"/>
    <w:rsid w:val="00EB56FE"/>
    <w:rsid w:val="00EB70FE"/>
    <w:rsid w:val="00EC0629"/>
    <w:rsid w:val="00EC0B00"/>
    <w:rsid w:val="00EC1605"/>
    <w:rsid w:val="00EC263C"/>
    <w:rsid w:val="00EC4A1A"/>
    <w:rsid w:val="00EC74D4"/>
    <w:rsid w:val="00ED0070"/>
    <w:rsid w:val="00ED1876"/>
    <w:rsid w:val="00ED1FA7"/>
    <w:rsid w:val="00ED2489"/>
    <w:rsid w:val="00EE0611"/>
    <w:rsid w:val="00EF0C72"/>
    <w:rsid w:val="00EF3894"/>
    <w:rsid w:val="00EF4081"/>
    <w:rsid w:val="00EF4890"/>
    <w:rsid w:val="00EF5071"/>
    <w:rsid w:val="00F05A62"/>
    <w:rsid w:val="00F1044A"/>
    <w:rsid w:val="00F12915"/>
    <w:rsid w:val="00F148BF"/>
    <w:rsid w:val="00F16998"/>
    <w:rsid w:val="00F20454"/>
    <w:rsid w:val="00F20FC5"/>
    <w:rsid w:val="00F21786"/>
    <w:rsid w:val="00F21A0D"/>
    <w:rsid w:val="00F227AE"/>
    <w:rsid w:val="00F24EE7"/>
    <w:rsid w:val="00F2799B"/>
    <w:rsid w:val="00F313C2"/>
    <w:rsid w:val="00F33112"/>
    <w:rsid w:val="00F347E5"/>
    <w:rsid w:val="00F3489E"/>
    <w:rsid w:val="00F34B0D"/>
    <w:rsid w:val="00F40CBA"/>
    <w:rsid w:val="00F40F4F"/>
    <w:rsid w:val="00F41F40"/>
    <w:rsid w:val="00F42DE4"/>
    <w:rsid w:val="00F432A6"/>
    <w:rsid w:val="00F44220"/>
    <w:rsid w:val="00F50081"/>
    <w:rsid w:val="00F60934"/>
    <w:rsid w:val="00F62372"/>
    <w:rsid w:val="00F71A62"/>
    <w:rsid w:val="00F74352"/>
    <w:rsid w:val="00F74838"/>
    <w:rsid w:val="00F74EDA"/>
    <w:rsid w:val="00F778BF"/>
    <w:rsid w:val="00F81064"/>
    <w:rsid w:val="00F820D2"/>
    <w:rsid w:val="00F85BE0"/>
    <w:rsid w:val="00F91F7A"/>
    <w:rsid w:val="00F93249"/>
    <w:rsid w:val="00F9345B"/>
    <w:rsid w:val="00F96BCE"/>
    <w:rsid w:val="00FA0585"/>
    <w:rsid w:val="00FA1A48"/>
    <w:rsid w:val="00FA2EC4"/>
    <w:rsid w:val="00FA35FD"/>
    <w:rsid w:val="00FA579F"/>
    <w:rsid w:val="00FA69D0"/>
    <w:rsid w:val="00FB0F6C"/>
    <w:rsid w:val="00FB38FB"/>
    <w:rsid w:val="00FB51C3"/>
    <w:rsid w:val="00FB571B"/>
    <w:rsid w:val="00FB5D2E"/>
    <w:rsid w:val="00FB61DD"/>
    <w:rsid w:val="00FB6386"/>
    <w:rsid w:val="00FB73B0"/>
    <w:rsid w:val="00FC3104"/>
    <w:rsid w:val="00FC32B5"/>
    <w:rsid w:val="00FC43C3"/>
    <w:rsid w:val="00FC6748"/>
    <w:rsid w:val="00FC7719"/>
    <w:rsid w:val="00FD00AD"/>
    <w:rsid w:val="00FD3F07"/>
    <w:rsid w:val="00FD4DDF"/>
    <w:rsid w:val="00FD4F1D"/>
    <w:rsid w:val="00FD57C6"/>
    <w:rsid w:val="00FD611F"/>
    <w:rsid w:val="00FD7DBC"/>
    <w:rsid w:val="00FD7FAE"/>
    <w:rsid w:val="00FE2878"/>
    <w:rsid w:val="00FE3E80"/>
    <w:rsid w:val="00FE4BFD"/>
    <w:rsid w:val="00FE50BF"/>
    <w:rsid w:val="00FE53F8"/>
    <w:rsid w:val="00FE56C6"/>
    <w:rsid w:val="00FE5B34"/>
    <w:rsid w:val="00FE6272"/>
    <w:rsid w:val="00FF35AD"/>
    <w:rsid w:val="00FF6BA2"/>
    <w:rsid w:val="00FF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0E8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D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,l,Dot"/>
    <w:basedOn w:val="Normalny"/>
    <w:link w:val="AkapitzlistZnak"/>
    <w:uiPriority w:val="34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D1619D"/>
    <w:pPr>
      <w:tabs>
        <w:tab w:val="left" w:pos="440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has-pretty-child">
    <w:name w:val="has-pretty-child"/>
    <w:basedOn w:val="Domylnaczcionkaakapitu"/>
    <w:rsid w:val="009C1988"/>
  </w:style>
  <w:style w:type="character" w:customStyle="1" w:styleId="hps">
    <w:name w:val="hps"/>
    <w:basedOn w:val="Domylnaczcionkaakapitu"/>
    <w:rsid w:val="00443C34"/>
  </w:style>
  <w:style w:type="character" w:customStyle="1" w:styleId="TekstpodstawowyZnak">
    <w:name w:val="Tekst podstawowy Znak"/>
    <w:link w:val="Tekstpodstawowy1"/>
    <w:semiHidden/>
    <w:locked/>
    <w:rsid w:val="003956B0"/>
    <w:rPr>
      <w:lang w:val="x-none"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3956B0"/>
    <w:pPr>
      <w:spacing w:after="0" w:line="240" w:lineRule="auto"/>
      <w:jc w:val="both"/>
    </w:pPr>
    <w:rPr>
      <w:lang w:val="x-none" w:eastAsia="pl-PL"/>
    </w:rPr>
  </w:style>
  <w:style w:type="paragraph" w:styleId="Poprawka">
    <w:name w:val="Revision"/>
    <w:hidden/>
    <w:uiPriority w:val="99"/>
    <w:semiHidden/>
    <w:rsid w:val="00096D7A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778F3"/>
    <w:rPr>
      <w:color w:val="605E5C"/>
      <w:shd w:val="clear" w:color="auto" w:fill="E1DFDD"/>
    </w:rPr>
  </w:style>
  <w:style w:type="character" w:customStyle="1" w:styleId="font-semibold">
    <w:name w:val="font-semibold"/>
    <w:basedOn w:val="Domylnaczcionkaakapitu"/>
    <w:rsid w:val="00CE207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D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B119B-C47F-4D56-8137-AE75937F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3275</Words>
  <Characters>19652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2025-03-21T10:39:00Z</dcterms:created>
  <dcterms:modified xsi:type="dcterms:W3CDTF">2025-12-04T11:05:00Z</dcterms:modified>
</cp:coreProperties>
</file>